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600"/>
      </w:pPr>
      <w:r>
        <w:drawing>
          <wp:inline distT="0" distB="0" distL="0" distR="0">
            <wp:extent cx="5943600" cy="990600"/>
            <wp:docPr id="900" name="Co-brand lockup" descr="Kinetiq by MotionReach and Metric Capital Advisory co-branded logo lockup"/>
            <a:graphic xmlns:a="http://schemas.openxmlformats.org/drawingml/2006/main">
              <a:graphicData uri="http://schemas.openxmlformats.org/drawingml/2006/picture">
                <pic:pic xmlns:pic="http://schemas.openxmlformats.org/drawingml/2006/picture">
                  <pic:nvPicPr>
                    <pic:cNvPr id="900" name="cobrand.png"/>
                    <pic:cNvPicPr/>
                  </pic:nvPicPr>
                  <pic:blipFill>
                    <a:blip r:embed="rId100"/>
                    <a:stretch>
                      <a:fillRect/>
                    </a:stretch>
                  </pic:blipFill>
                  <pic:spPr>
                    <a:xfrm>
                      <a:off x="0" y="0"/>
                      <a:ext cx="5943600" cy="990600"/>
                    </a:xfrm>
                    <a:prstGeom prst="rect">
                      <a:avLst/>
                    </a:prstGeom>
                  </pic:spPr>
                </pic:pic>
              </a:graphicData>
            </a:graphic>
          </wp:inline>
        </w:drawing>
      </w:r>
    </w:p>
    <w:p>
      <w:pPr>
        <w:spacing w:after="120" w:before="240"/>
      </w:pPr>
      <w:r>
        <w:rPr>
          <w:b/>
          <w:bCs/>
          <w:color w:val="8A5F14"/>
          <w:sz w:val="22"/>
          <w:szCs w:val="22"/>
        </w:rPr>
        <w:t xml:space="preserve">MOTIONREACH DATA SERVICES</w:t>
      </w:r>
    </w:p>
    <w:p>
      <w:pPr>
        <w:spacing w:after="120"/>
      </w:pPr>
      <w:r>
        <w:rPr>
          <w:b/>
          <w:bCs/>
          <w:sz w:val="44"/>
          <w:szCs w:val="44"/>
        </w:rPr>
        <w:t xml:space="preserve">Product Vision &amp; Build Plan for the Data Services Vertical</w:t>
      </w:r>
    </w:p>
    <w:p>
      <w:pPr>
        <w:spacing w:after="60"/>
      </w:pPr>
      <w:r>
        <w:rPr>
          <w:color w:val="5A6472"/>
          <w:sz w:val="22"/>
          <w:szCs w:val="22"/>
        </w:rPr>
        <w:t xml:space="preserve">v1.0 · August 2026</w:t>
      </w:r>
    </w:p>
    <w:p>
      <w:r>
        <w:rPr>
          <w:color w:val="5A6472"/>
          <w:sz w:val="22"/>
          <w:szCs w:val="22"/>
        </w:rPr>
        <w:t xml:space="preserve">Prepared for the MotionReach leadership team</w:t>
      </w:r>
    </w:p>
    <w:p>
      <w:pPr>
        <w:spacing w:before="120"/>
      </w:pPr>
      <w:r>
        <w:rPr>
          <w:color w:val="5A6472"/>
          <w:sz w:val="22"/>
          <w:szCs w:val="22"/>
        </w:rPr>
        <w:t xml:space="preserve">Prepared in partnership with Metric Capital Advisory (MCA) · mca.partners</w:t>
      </w:r>
    </w:p>
    <w:p>
      <w:r>
        <w:br w:type="page"/>
      </w:r>
    </w:p>
    <w:p>
      <w:pPr>
        <w:pStyle w:val="Heading1"/>
      </w:pPr>
      <w:r>
        <w:t xml:space="preserve">Contents</w:t>
      </w:r>
    </w:p>
    <w:p>
      <w:pPr>
        <w:spacing w:after="60"/>
      </w:pPr>
      <w:r>
        <w:t xml:space="preserve">01  Executive Summary</w:t>
      </w:r>
    </w:p>
    <w:p>
      <w:pPr>
        <w:spacing w:after="60"/>
      </w:pPr>
      <w:r>
        <w:t xml:space="preserve">02  Where We Are Today</w:t>
      </w:r>
    </w:p>
    <w:p>
      <w:pPr>
        <w:spacing w:after="60"/>
      </w:pPr>
      <w:r>
        <w:t xml:space="preserve">03  Vision &amp; Positioning</w:t>
      </w:r>
    </w:p>
    <w:p>
      <w:pPr>
        <w:spacing w:after="60"/>
      </w:pPr>
      <w:r>
        <w:t xml:space="preserve">04  Module A — Data Capture</w:t>
      </w:r>
    </w:p>
    <w:p>
      <w:pPr>
        <w:spacing w:after="60"/>
      </w:pPr>
      <w:r>
        <w:t xml:space="preserve">05  Correlation to Causation</w:t>
      </w:r>
    </w:p>
    <w:p>
      <w:pPr>
        <w:spacing w:after="60"/>
      </w:pPr>
      <w:r>
        <w:t xml:space="preserve">06  Module B — Commercialisation</w:t>
      </w:r>
    </w:p>
    <w:p>
      <w:pPr>
        <w:spacing w:after="60"/>
      </w:pPr>
      <w:r>
        <w:t xml:space="preserve">07  Product Development Plan</w:t>
      </w:r>
    </w:p>
    <w:p>
      <w:pPr>
        <w:spacing w:after="60"/>
      </w:pPr>
      <w:r>
        <w:t xml:space="preserve">08  Critical Mass &amp; Data Quality</w:t>
      </w:r>
    </w:p>
    <w:p>
      <w:pPr>
        <w:spacing w:after="60"/>
      </w:pPr>
      <w:r>
        <w:t xml:space="preserve">09  Org, Roles &amp; Operating Model</w:t>
      </w:r>
    </w:p>
    <w:p>
      <w:pPr>
        <w:spacing w:after="60"/>
      </w:pPr>
      <w:r>
        <w:t xml:space="preserve">10  Risks &amp; Mitigations</w:t>
      </w:r>
    </w:p>
    <w:p>
      <w:pPr>
        <w:spacing w:after="60"/>
      </w:pPr>
      <w:r>
        <w:t xml:space="preserve">11  KPIs &amp; Success Metrics</w:t>
      </w:r>
    </w:p>
    <w:p>
      <w:r>
        <w:br w:type="page"/>
      </w:r>
    </w:p>
    <w:p>
      <w:pPr>
        <w:spacing w:after="40"/>
      </w:pPr>
      <w:r>
        <w:rPr>
          <w:b/>
          <w:bCs/>
          <w:color w:val="8A5F14"/>
          <w:sz w:val="18"/>
          <w:szCs w:val="18"/>
        </w:rPr>
        <w:t xml:space="preserve">01 · FROM IMPRESSIONS TO A CONVERSION CURRENCY</w:t>
      </w:r>
    </w:p>
    <w:p>
      <w:pPr>
        <w:pStyle w:val="Heading1"/>
      </w:pPr>
      <w:r>
        <w:t xml:space="preserve">Executive Summary</w:t>
      </w:r>
    </w:p>
    <w:p>
      <w:pPr>
        <w:spacing w:after="160"/>
      </w:pPr>
      <w:r>
        <w:t xml:space="preserve">MotionReach operates 500 in-taxi screens today and will scale to 10,000 over the next 24 months. Those screens are currently sold as an advertising channel with a single metric: the number of times an ad played. Proof-of-play is a delivery receipt, not a business outcome, and it caps what a client will pay per screen-hour.</w:t>
      </w:r>
    </w:p>
    <w:p>
      <w:pPr>
        <w:spacing w:after="160"/>
      </w:pPr>
      <w:r>
        <w:t xml:space="preserve">Data Services turns the same hardware into a continuous data-collection network. Every play already happens somewhere, at some time, in front of someone, on a journey between two points. Capturing that context — with passenger consent and a fair value exchange — converts an unmeasured impression into a measured moment, and a measured moment into an attributable outcome.</w:t>
      </w:r>
    </w:p>
    <w:p>
      <w:pPr>
        <w:spacing w:after="160"/>
      </w:pPr>
      <w:r>
        <w:t xml:space="preserve">The vertical has two halves. The capture module builds the pipeline: consented passenger profiles, GPS-at-play, journey context, touch and QR engagement, and client-supplied conversion feeds. The commercialisation module turns that pipeline into four distinct revenue lines: measurement attached to media, syndicated benchmarks, bespoke insight studies, and audience licensing for programmatic buying.</w:t>
      </w:r>
    </w:p>
    <w:p>
      <w:pPr>
        <w:pBdr>
          <w:left w:val="single" w:color="C08A2E" w:sz="18" w:space="8"/>
        </w:pBdr>
        <w:spacing w:after="40" w:before="120"/>
      </w:pPr>
      <w:r>
        <w:rPr>
          <w:b/>
          <w:bCs/>
          <w:color w:val="8A5F14"/>
        </w:rPr>
        <w:t xml:space="preserve">The strategic prize</w:t>
      </w:r>
    </w:p>
    <w:p>
      <w:pPr>
        <w:pBdr>
          <w:left w:val="single" w:color="C08A2E" w:sz="18" w:space="8"/>
        </w:pBdr>
        <w:spacing w:after="200"/>
      </w:pPr>
      <w:r>
        <w:rPr>
          <w:i/>
          <w:iCs/>
        </w:rPr>
        <w:t xml:space="preserve">Nielsen owns share. WPP owns BAV. Nobody owns the offline-to-online conversion currency for mobility media in Southeast Asia. MotionReach can define it — the Gateway to Conversion Index — and become the number every brand, agency and competitor has to quote.</w:t>
      </w:r>
    </w:p>
    <w:p>
      <w:pPr>
        <w:spacing w:after="160"/>
      </w:pPr>
      <w:r>
        <w:t xml:space="preserve">This is directly aligned with the investor narrative: offline-to-online attribution and programmatic are both flagged as 'this round' capabilities, and 35% of the US$3M is allocated to MotionVision engineering. Data Services is the concrete product plan behind that line item.</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tcBorders>
              <w:top w:val="single" w:color="D9DEE5" w:sz="1"/>
              <w:left w:val="single" w:color="D9DEE5" w:sz="1"/>
              <w:bottom w:val="single" w:color="D9DEE5" w:sz="1"/>
              <w:right w:val="single" w:color="D9DEE5" w:sz="1"/>
            </w:tcBorders>
            <w:shd w:fill="1E2530" w:val="clear"/>
            <w:tcMar>
              <w:top w:type="dxa" w:w="80"/>
              <w:left w:type="dxa" w:w="120"/>
              <w:bottom w:type="dxa" w:w="80"/>
              <w:right w:type="dxa" w:w="120"/>
            </w:tcMar>
          </w:tcPr>
          <w:p>
            <w:r>
              <w:rPr>
                <w:b/>
                <w:bCs/>
                <w:color w:val="FFFFFF"/>
                <w:sz w:val="19"/>
                <w:szCs w:val="19"/>
              </w:rPr>
              <w:t xml:space="preserve">Horizon</w:t>
            </w:r>
          </w:p>
        </w:tc>
        <w:tc>
          <w:tcPr>
            <w:tcW w:type="dxa" w:w="3120"/>
            <w:tcBorders>
              <w:top w:val="single" w:color="D9DEE5" w:sz="1"/>
              <w:left w:val="single" w:color="D9DEE5" w:sz="1"/>
              <w:bottom w:val="single" w:color="D9DEE5" w:sz="1"/>
              <w:right w:val="single" w:color="D9DEE5" w:sz="1"/>
            </w:tcBorders>
            <w:shd w:fill="1E2530" w:val="clear"/>
            <w:tcMar>
              <w:top w:type="dxa" w:w="80"/>
              <w:left w:type="dxa" w:w="120"/>
              <w:bottom w:type="dxa" w:w="80"/>
              <w:right w:type="dxa" w:w="120"/>
            </w:tcMar>
          </w:tcPr>
          <w:p>
            <w:r>
              <w:rPr>
                <w:b/>
                <w:bCs/>
                <w:color w:val="FFFFFF"/>
                <w:sz w:val="19"/>
                <w:szCs w:val="19"/>
              </w:rPr>
              <w:t xml:space="preserve">Capability milestone</w:t>
            </w:r>
          </w:p>
        </w:tc>
        <w:tc>
          <w:tcPr>
            <w:tcW w:type="dxa" w:w="3120"/>
            <w:tcBorders>
              <w:top w:val="single" w:color="D9DEE5" w:sz="1"/>
              <w:left w:val="single" w:color="D9DEE5" w:sz="1"/>
              <w:bottom w:val="single" w:color="D9DEE5" w:sz="1"/>
              <w:right w:val="single" w:color="D9DEE5" w:sz="1"/>
            </w:tcBorders>
            <w:shd w:fill="1E2530" w:val="clear"/>
            <w:tcMar>
              <w:top w:type="dxa" w:w="80"/>
              <w:left w:type="dxa" w:w="120"/>
              <w:bottom w:type="dxa" w:w="80"/>
              <w:right w:type="dxa" w:w="120"/>
            </w:tcMar>
          </w:tcPr>
          <w:p>
            <w:r>
              <w:rPr>
                <w:b/>
                <w:bCs/>
                <w:color w:val="FFFFFF"/>
                <w:sz w:val="19"/>
                <w:szCs w:val="19"/>
              </w:rPr>
              <w:t xml:space="preserve">Commercial milestone</w:t>
            </w:r>
          </w:p>
        </w:tc>
      </w:tr>
      <w:tr>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H1 · 0–6 months</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Consent + profile module live, GPS-at-play logging, unique per-play QR</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First 3 paid attribution pilots, measurement fee attached to media</w:t>
            </w:r>
          </w:p>
        </w:tc>
      </w:tr>
      <w:tr>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H2 · 6–18 months</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Weighted panel at critical mass, benchmark engine, self-serve dashboard</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Syndicated subscriptions live, insight studies as a standalone P&amp;L</w:t>
            </w:r>
          </w:p>
        </w:tc>
      </w:tr>
      <w:tr>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H3 · 18–24+ months</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Validated Index, programmatic audience segments, SEA data model</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Data licensing, currency adoption by agencies, regional expansion</w:t>
            </w:r>
          </w:p>
        </w:tc>
      </w:tr>
    </w:tbl>
    <w:p>
      <w:pPr>
        <w:spacing w:after="200"/>
      </w:pPr>
    </w:p>
    <w:p>
      <w:r>
        <w:br w:type="page"/>
      </w:r>
    </w:p>
    <w:p>
      <w:pPr>
        <w:spacing w:after="40"/>
      </w:pPr>
      <w:r>
        <w:rPr>
          <w:b/>
          <w:bCs/>
          <w:color w:val="8A5F14"/>
          <w:sz w:val="18"/>
          <w:szCs w:val="18"/>
        </w:rPr>
        <w:t xml:space="preserve">02 · ONE METRIC, AND EVERYTHING IT HIDES</w:t>
      </w:r>
    </w:p>
    <w:p>
      <w:pPr>
        <w:pStyle w:val="Heading1"/>
      </w:pPr>
      <w:r>
        <w:t xml:space="preserve">Where We Are Today</w:t>
      </w:r>
    </w:p>
    <w:p>
      <w:pPr>
        <w:spacing w:after="160"/>
      </w:pPr>
      <w:r>
        <w:t xml:space="preserve">The network today reports plays. A campaign that delivered 4.54M verified impressions is a strong delivery story, but it answers none of the three questions clients ask after the invoice: who saw it, did they act, and was it worth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tcBorders>
              <w:top w:val="single" w:color="D9DEE5" w:sz="1"/>
              <w:left w:val="single" w:color="D9DEE5" w:sz="1"/>
              <w:bottom w:val="single" w:color="D9DEE5" w:sz="1"/>
              <w:right w:val="single" w:color="D9DEE5" w:sz="1"/>
            </w:tcBorders>
            <w:shd w:fill="1E2530" w:val="clear"/>
            <w:tcMar>
              <w:top w:type="dxa" w:w="80"/>
              <w:left w:type="dxa" w:w="120"/>
              <w:bottom w:type="dxa" w:w="80"/>
              <w:right w:type="dxa" w:w="120"/>
            </w:tcMar>
          </w:tcPr>
          <w:p>
            <w:r>
              <w:rPr>
                <w:b/>
                <w:bCs/>
                <w:color w:val="FFFFFF"/>
                <w:sz w:val="19"/>
                <w:szCs w:val="19"/>
              </w:rPr>
              <w:t xml:space="preserve">Question the client asks</w:t>
            </w:r>
          </w:p>
        </w:tc>
        <w:tc>
          <w:tcPr>
            <w:tcW w:type="dxa" w:w="3120"/>
            <w:tcBorders>
              <w:top w:val="single" w:color="D9DEE5" w:sz="1"/>
              <w:left w:val="single" w:color="D9DEE5" w:sz="1"/>
              <w:bottom w:val="single" w:color="D9DEE5" w:sz="1"/>
              <w:right w:val="single" w:color="D9DEE5" w:sz="1"/>
            </w:tcBorders>
            <w:shd w:fill="1E2530" w:val="clear"/>
            <w:tcMar>
              <w:top w:type="dxa" w:w="80"/>
              <w:left w:type="dxa" w:w="120"/>
              <w:bottom w:type="dxa" w:w="80"/>
              <w:right w:type="dxa" w:w="120"/>
            </w:tcMar>
          </w:tcPr>
          <w:p>
            <w:r>
              <w:rPr>
                <w:b/>
                <w:bCs/>
                <w:color w:val="FFFFFF"/>
                <w:sz w:val="19"/>
                <w:szCs w:val="19"/>
              </w:rPr>
              <w:t xml:space="preserve">What we can answer today</w:t>
            </w:r>
          </w:p>
        </w:tc>
        <w:tc>
          <w:tcPr>
            <w:tcW w:type="dxa" w:w="3120"/>
            <w:tcBorders>
              <w:top w:val="single" w:color="D9DEE5" w:sz="1"/>
              <w:left w:val="single" w:color="D9DEE5" w:sz="1"/>
              <w:bottom w:val="single" w:color="D9DEE5" w:sz="1"/>
              <w:right w:val="single" w:color="D9DEE5" w:sz="1"/>
            </w:tcBorders>
            <w:shd w:fill="1E2530" w:val="clear"/>
            <w:tcMar>
              <w:top w:type="dxa" w:w="80"/>
              <w:left w:type="dxa" w:w="120"/>
              <w:bottom w:type="dxa" w:w="80"/>
              <w:right w:type="dxa" w:w="120"/>
            </w:tcMar>
          </w:tcPr>
          <w:p>
            <w:r>
              <w:rPr>
                <w:b/>
                <w:bCs/>
                <w:color w:val="FFFFFF"/>
                <w:sz w:val="19"/>
                <w:szCs w:val="19"/>
              </w:rPr>
              <w:t xml:space="preserve">What we need</w:t>
            </w:r>
          </w:p>
        </w:tc>
      </w:tr>
      <w:tr>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Did my ad run?</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Yes — proof-of-play by screen and slot</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Already solved</w:t>
            </w:r>
          </w:p>
        </w:tc>
      </w:tr>
      <w:tr>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Where and when did it run?</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Partially — geo-targeted delivery, coarse reporting</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GPS fix at every play, journey origin/destination</w:t>
            </w:r>
          </w:p>
        </w:tc>
      </w:tr>
      <w:tr>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Who was in the car?</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No — impressions are anonymous headcount estimates</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Consented passenger profile and micro-surveys</w:t>
            </w:r>
          </w:p>
        </w:tc>
      </w:tr>
      <w:tr>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Did they engage?</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Partially — QR scans exist but are not tied to a specific play</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Unique per-play QR, touch events, dwell</w:t>
            </w:r>
          </w:p>
        </w:tc>
      </w:tr>
      <w:tr>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Did they convert?</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No</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Client conversion feed: web pixel, app event, POS or loyalty match-back</w:t>
            </w:r>
          </w:p>
        </w:tc>
      </w:tr>
      <w:tr>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Was it incremental?</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No</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Holdout and geo-lift design built into every campaign</w:t>
            </w:r>
          </w:p>
        </w:tc>
      </w:tr>
    </w:tbl>
    <w:p>
      <w:pPr>
        <w:spacing w:after="200"/>
      </w:pPr>
    </w:p>
    <w:p>
      <w:pPr>
        <w:spacing w:after="160"/>
      </w:pPr>
      <w:r>
        <w:t xml:space="preserve">Three structural assets make this solvable now rather than later. We own the hardware, so we control the sensor and the screen. We own marketing execution, so we sit close enough to the client to negotiate conversion data. And we are small enough at 500 screens to instrument the network properly before the 10,000-screen rollout locks in a worse design.</w:t>
      </w:r>
    </w:p>
    <w:p>
      <w:pPr>
        <w:pBdr>
          <w:left w:val="single" w:color="C08A2E" w:sz="18" w:space="8"/>
        </w:pBdr>
        <w:spacing w:after="40" w:before="120"/>
      </w:pPr>
      <w:r>
        <w:rPr>
          <w:b/>
          <w:bCs/>
          <w:color w:val="8A5F14"/>
        </w:rPr>
        <w:t xml:space="preserve">Why the window is now</w:t>
      </w:r>
    </w:p>
    <w:p>
      <w:pPr>
        <w:pBdr>
          <w:left w:val="single" w:color="C08A2E" w:sz="18" w:space="8"/>
        </w:pBdr>
        <w:spacing w:after="200"/>
      </w:pPr>
      <w:r>
        <w:rPr>
          <w:i/>
          <w:iCs/>
        </w:rPr>
        <w:t xml:space="preserve">Every screen deployed without a consent and telemetry spec is a screen that has to be retrofitted. The capture spec must be finalised before the fleet expansion budget is spent.</w:t>
      </w:r>
    </w:p>
    <w:p>
      <w:r>
        <w:br w:type="page"/>
      </w:r>
    </w:p>
    <w:p>
      <w:pPr>
        <w:spacing w:after="40"/>
      </w:pPr>
      <w:r>
        <w:rPr>
          <w:b/>
          <w:bCs/>
          <w:color w:val="8A5F14"/>
          <w:sz w:val="18"/>
          <w:szCs w:val="18"/>
        </w:rPr>
        <w:t xml:space="preserve">03 · THE GATEWAY TO CONVERSION</w:t>
      </w:r>
    </w:p>
    <w:p>
      <w:pPr>
        <w:pStyle w:val="Heading1"/>
      </w:pPr>
      <w:r>
        <w:t xml:space="preserve">Vision &amp; Positioning</w:t>
      </w:r>
    </w:p>
    <w:p>
      <w:pPr>
        <w:spacing w:after="160"/>
      </w:pPr>
      <w:r>
        <w:t xml:space="preserve">MotionReach Data Services exists to make in-car mobility media the most measurable offline channel in Southeast Asia, and to make MotionReach the owner of the metric that proves it.</w:t>
      </w:r>
    </w:p>
    <w:p>
      <w:pPr>
        <w:pStyle w:val="Heading3"/>
      </w:pPr>
      <w:r>
        <w:t xml:space="preserve">Positioning statement</w:t>
      </w:r>
    </w:p>
    <w:p>
      <w:pPr>
        <w:spacing w:after="160"/>
      </w:pPr>
      <w:r>
        <w:t xml:space="preserve">For brands and agencies who spend offline and cannot prove it worked, MotionReach Data Services is the measurement layer of the mobility network — the only source that connects a specific ad play, in a specific vehicle, on a specific journey, to a named audience profile and a verified downstream action.</w:t>
      </w:r>
    </w:p>
    <w:p>
      <w:pPr>
        <w:pStyle w:val="Heading3"/>
      </w:pPr>
      <w:r>
        <w:t xml:space="preserve">Three positioning pillars</w:t>
      </w:r>
    </w:p>
    <w:p>
      <w:pPr>
        <w:pStyle w:val="ListParagraph"/>
        <w:numPr>
          <w:ilvl w:val="0"/>
          <w:numId w:val="2"/>
        </w:numPr>
        <w:spacing w:after="80"/>
      </w:pPr>
      <w:r>
        <w:t xml:space="preserve">Consent-first. Passengers choose what they share and are paid for it in value, not tricked out of it. This is the moat: consented first-party data cannot be scraped or resold by a competitor.</w:t>
      </w:r>
    </w:p>
    <w:p>
      <w:pPr>
        <w:pStyle w:val="ListParagraph"/>
        <w:numPr>
          <w:ilvl w:val="0"/>
          <w:numId w:val="2"/>
        </w:numPr>
        <w:spacing w:after="80"/>
      </w:pPr>
      <w:r>
        <w:t xml:space="preserve">Journey-native. Our data is not a panel survey about mobility, it is mobility. Origin, destination, route, time and dwell are captured as a by-product of the medium itself.</w:t>
      </w:r>
    </w:p>
    <w:p>
      <w:pPr>
        <w:pStyle w:val="ListParagraph"/>
        <w:numPr>
          <w:ilvl w:val="0"/>
          <w:numId w:val="2"/>
        </w:numPr>
        <w:spacing w:after="80"/>
      </w:pPr>
      <w:r>
        <w:t xml:space="preserve">Outcome-bound. Every metric we publish must be traceable to a client business outcome, or it does not go in the product.</w:t>
      </w:r>
    </w:p>
    <w:p>
      <w:pPr>
        <w:pStyle w:val="Heading3"/>
      </w:pPr>
      <w:r>
        <w:t xml:space="preserve">The currency: MotionReach Conversion Index (MRCI)</w:t>
      </w:r>
    </w:p>
    <w:p>
      <w:pPr>
        <w:spacing w:after="160"/>
      </w:pPr>
      <w:r>
        <w:t xml:space="preserve">A single normalised 0–100 score per campaign, comparable across category, creative and geography, built from four weighted components. It is the artefact that turns Data Services from a reporting feature into an industry standard.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tcBorders>
              <w:top w:val="single" w:color="D9DEE5" w:sz="1"/>
              <w:left w:val="single" w:color="D9DEE5" w:sz="1"/>
              <w:bottom w:val="single" w:color="D9DEE5" w:sz="1"/>
              <w:right w:val="single" w:color="D9DEE5" w:sz="1"/>
            </w:tcBorders>
            <w:shd w:fill="1E2530" w:val="clear"/>
            <w:tcMar>
              <w:top w:type="dxa" w:w="80"/>
              <w:left w:type="dxa" w:w="120"/>
              <w:bottom w:type="dxa" w:w="80"/>
              <w:right w:type="dxa" w:w="120"/>
            </w:tcMar>
          </w:tcPr>
          <w:p>
            <w:r>
              <w:rPr>
                <w:b/>
                <w:bCs/>
                <w:color w:val="FFFFFF"/>
                <w:sz w:val="19"/>
                <w:szCs w:val="19"/>
              </w:rPr>
              <w:t xml:space="preserve">Component</w:t>
            </w:r>
          </w:p>
        </w:tc>
        <w:tc>
          <w:tcPr>
            <w:tcW w:type="dxa" w:w="3120"/>
            <w:tcBorders>
              <w:top w:val="single" w:color="D9DEE5" w:sz="1"/>
              <w:left w:val="single" w:color="D9DEE5" w:sz="1"/>
              <w:bottom w:val="single" w:color="D9DEE5" w:sz="1"/>
              <w:right w:val="single" w:color="D9DEE5" w:sz="1"/>
            </w:tcBorders>
            <w:shd w:fill="1E2530" w:val="clear"/>
            <w:tcMar>
              <w:top w:type="dxa" w:w="80"/>
              <w:left w:type="dxa" w:w="120"/>
              <w:bottom w:type="dxa" w:w="80"/>
              <w:right w:type="dxa" w:w="120"/>
            </w:tcMar>
          </w:tcPr>
          <w:p>
            <w:r>
              <w:rPr>
                <w:b/>
                <w:bCs/>
                <w:color w:val="FFFFFF"/>
                <w:sz w:val="19"/>
                <w:szCs w:val="19"/>
              </w:rPr>
              <w:t xml:space="preserve">What it measures</w:t>
            </w:r>
          </w:p>
        </w:tc>
        <w:tc>
          <w:tcPr>
            <w:tcW w:type="dxa" w:w="3120"/>
            <w:tcBorders>
              <w:top w:val="single" w:color="D9DEE5" w:sz="1"/>
              <w:left w:val="single" w:color="D9DEE5" w:sz="1"/>
              <w:bottom w:val="single" w:color="D9DEE5" w:sz="1"/>
              <w:right w:val="single" w:color="D9DEE5" w:sz="1"/>
            </w:tcBorders>
            <w:shd w:fill="1E2530" w:val="clear"/>
            <w:tcMar>
              <w:top w:type="dxa" w:w="80"/>
              <w:left w:type="dxa" w:w="120"/>
              <w:bottom w:type="dxa" w:w="80"/>
              <w:right w:type="dxa" w:w="120"/>
            </w:tcMar>
          </w:tcPr>
          <w:p>
            <w:r>
              <w:rPr>
                <w:b/>
                <w:bCs/>
                <w:color w:val="FFFFFF"/>
                <w:sz w:val="19"/>
                <w:szCs w:val="19"/>
              </w:rPr>
              <w:t xml:space="preserve">Indicative weight</w:t>
            </w:r>
          </w:p>
        </w:tc>
      </w:tr>
      <w:tr>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Exposure quality</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Verified plays weighted by dwell, audience fit and daypart</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20%</w:t>
            </w:r>
          </w:p>
        </w:tc>
      </w:tr>
      <w:tr>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Attention</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Touch interaction and completed views vs network baseline</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20%</w:t>
            </w:r>
          </w:p>
        </w:tc>
      </w:tr>
      <w:tr>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Activation</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Unique QR scans and deep-link opens per 1,000 exposures</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25%</w:t>
            </w:r>
          </w:p>
        </w:tc>
      </w:tr>
      <w:tr>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Outcome</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Verified conversions and incremental lift vs holdout</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35%</w:t>
            </w:r>
          </w:p>
        </w:tc>
      </w:tr>
    </w:tbl>
    <w:p>
      <w:pPr>
        <w:spacing w:after="200"/>
      </w:pPr>
    </w:p>
    <w:p>
      <w:pPr>
        <w:pBdr>
          <w:left w:val="single" w:color="C08A2E" w:sz="18" w:space="8"/>
        </w:pBdr>
        <w:spacing w:after="40" w:before="120"/>
      </w:pPr>
      <w:r>
        <w:rPr>
          <w:b/>
          <w:bCs/>
          <w:color w:val="8A5F14"/>
        </w:rPr>
        <w:t xml:space="preserve">Currency credibility rule</w:t>
      </w:r>
    </w:p>
    <w:p>
      <w:pPr>
        <w:pBdr>
          <w:left w:val="single" w:color="C08A2E" w:sz="18" w:space="8"/>
        </w:pBdr>
        <w:spacing w:after="200"/>
      </w:pPr>
      <w:r>
        <w:rPr>
          <w:i/>
          <w:iCs/>
        </w:rPr>
        <w:t xml:space="preserve">A currency is only worth what its weakest published number is. No MRCI score is released for a cut that fails the sample thresholds in Section 08, and the methodology is published openly from day one.</w:t>
      </w:r>
    </w:p>
    <w:p>
      <w:r>
        <w:br w:type="page"/>
      </w:r>
    </w:p>
    <w:p>
      <w:pPr>
        <w:spacing w:after="40"/>
      </w:pPr>
      <w:r>
        <w:rPr>
          <w:b/>
          <w:bCs/>
          <w:color w:val="8A5F14"/>
          <w:sz w:val="18"/>
          <w:szCs w:val="18"/>
        </w:rPr>
        <w:t xml:space="preserve">04 · THE PIPELINE THAT MAKES EVERYTHING ELSE POSSIBLE</w:t>
      </w:r>
    </w:p>
    <w:p>
      <w:pPr>
        <w:pStyle w:val="Heading1"/>
      </w:pPr>
      <w:r>
        <w:t xml:space="preserve">Module A — Data Capture</w:t>
      </w:r>
    </w:p>
    <w:p>
      <w:pPr>
        <w:spacing w:after="160"/>
      </w:pPr>
      <w:r>
        <w:t xml:space="preserve">The capture module is a five-layer data model. Each layer is independently valuable and independently shippable, and later layers depend on earlier ones being clean.</w:t>
      </w:r>
    </w:p>
    <w:p>
      <w:pPr>
        <w:pStyle w:val="Heading3"/>
      </w:pPr>
      <w:r>
        <w:t xml:space="preserve">4.1 Data taxonomy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tblHeader/>
        </w:trPr>
        <w:tc>
          <w:tcPr>
            <w:tcW w:type="dxa" w:w="2340"/>
            <w:tcBorders>
              <w:top w:val="single" w:color="D9DEE5" w:sz="1"/>
              <w:left w:val="single" w:color="D9DEE5" w:sz="1"/>
              <w:bottom w:val="single" w:color="D9DEE5" w:sz="1"/>
              <w:right w:val="single" w:color="D9DEE5" w:sz="1"/>
            </w:tcBorders>
            <w:shd w:fill="1E2530" w:val="clear"/>
            <w:tcMar>
              <w:top w:type="dxa" w:w="80"/>
              <w:left w:type="dxa" w:w="120"/>
              <w:bottom w:type="dxa" w:w="80"/>
              <w:right w:type="dxa" w:w="120"/>
            </w:tcMar>
          </w:tcPr>
          <w:p>
            <w:r>
              <w:rPr>
                <w:b/>
                <w:bCs/>
                <w:color w:val="FFFFFF"/>
                <w:sz w:val="19"/>
                <w:szCs w:val="19"/>
              </w:rPr>
              <w:t xml:space="preserve">Layer</w:t>
            </w:r>
          </w:p>
        </w:tc>
        <w:tc>
          <w:tcPr>
            <w:tcW w:type="dxa" w:w="2340"/>
            <w:tcBorders>
              <w:top w:val="single" w:color="D9DEE5" w:sz="1"/>
              <w:left w:val="single" w:color="D9DEE5" w:sz="1"/>
              <w:bottom w:val="single" w:color="D9DEE5" w:sz="1"/>
              <w:right w:val="single" w:color="D9DEE5" w:sz="1"/>
            </w:tcBorders>
            <w:shd w:fill="1E2530" w:val="clear"/>
            <w:tcMar>
              <w:top w:type="dxa" w:w="80"/>
              <w:left w:type="dxa" w:w="120"/>
              <w:bottom w:type="dxa" w:w="80"/>
              <w:right w:type="dxa" w:w="120"/>
            </w:tcMar>
          </w:tcPr>
          <w:p>
            <w:r>
              <w:rPr>
                <w:b/>
                <w:bCs/>
                <w:color w:val="FFFFFF"/>
                <w:sz w:val="19"/>
                <w:szCs w:val="19"/>
              </w:rPr>
              <w:t xml:space="preserve">Data points</w:t>
            </w:r>
          </w:p>
        </w:tc>
        <w:tc>
          <w:tcPr>
            <w:tcW w:type="dxa" w:w="2340"/>
            <w:tcBorders>
              <w:top w:val="single" w:color="D9DEE5" w:sz="1"/>
              <w:left w:val="single" w:color="D9DEE5" w:sz="1"/>
              <w:bottom w:val="single" w:color="D9DEE5" w:sz="1"/>
              <w:right w:val="single" w:color="D9DEE5" w:sz="1"/>
            </w:tcBorders>
            <w:shd w:fill="1E2530" w:val="clear"/>
            <w:tcMar>
              <w:top w:type="dxa" w:w="80"/>
              <w:left w:type="dxa" w:w="120"/>
              <w:bottom w:type="dxa" w:w="80"/>
              <w:right w:type="dxa" w:w="120"/>
            </w:tcMar>
          </w:tcPr>
          <w:p>
            <w:r>
              <w:rPr>
                <w:b/>
                <w:bCs/>
                <w:color w:val="FFFFFF"/>
                <w:sz w:val="19"/>
                <w:szCs w:val="19"/>
              </w:rPr>
              <w:t xml:space="preserve">Source</w:t>
            </w:r>
          </w:p>
        </w:tc>
        <w:tc>
          <w:tcPr>
            <w:tcW w:type="dxa" w:w="2340"/>
            <w:tcBorders>
              <w:top w:val="single" w:color="D9DEE5" w:sz="1"/>
              <w:left w:val="single" w:color="D9DEE5" w:sz="1"/>
              <w:bottom w:val="single" w:color="D9DEE5" w:sz="1"/>
              <w:right w:val="single" w:color="D9DEE5" w:sz="1"/>
            </w:tcBorders>
            <w:shd w:fill="1E2530" w:val="clear"/>
            <w:tcMar>
              <w:top w:type="dxa" w:w="80"/>
              <w:left w:type="dxa" w:w="120"/>
              <w:bottom w:type="dxa" w:w="80"/>
              <w:right w:type="dxa" w:w="120"/>
            </w:tcMar>
          </w:tcPr>
          <w:p>
            <w:r>
              <w:rPr>
                <w:b/>
                <w:bCs/>
                <w:color w:val="FFFFFF"/>
                <w:sz w:val="19"/>
                <w:szCs w:val="19"/>
              </w:rPr>
              <w:t xml:space="preserve">Consent needed</w:t>
            </w:r>
          </w:p>
        </w:tc>
      </w:tr>
      <w:tr>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Device / play</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Screen ID, creative ID, timestamp, slot, loop position, playback confirmation, screen-on state</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Player software</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None (no personal data)</w:t>
            </w:r>
          </w:p>
        </w:tc>
      </w:tr>
      <w:tr>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Mobility</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GPS fix at play, heading and speed, trip origin zone, destination zone, route polyline, POI proximity, daypart, weather</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Vehicle GPS + player</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Fleet/driver agreement; aggregated for reporting</w:t>
            </w:r>
          </w:p>
        </w:tc>
      </w:tr>
      <w:tr>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Passenger</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Age band, gender, income band, occupation type, household, interests, trip purpose, brand affinity, survey answers, loyalty ID</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Touchscreen opt-in</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Explicit, tiered, revocable</w:t>
            </w:r>
          </w:p>
        </w:tc>
      </w:tr>
      <w:tr>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Engagement</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Touch events, screen dwell, creative completion, QR scan, deep-link open, landing dwell</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Player + redirect service</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Notice; pseudonymous by default</w:t>
            </w:r>
          </w:p>
        </w:tc>
      </w:tr>
      <w:tr>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Outcome</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Site visit, add-to-cart, purchase, store visit, POS transaction, loyalty redemption, lead form</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Client feed / partner</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Client-side consent + data agreement</w:t>
            </w:r>
          </w:p>
        </w:tc>
      </w:tr>
    </w:tbl>
    <w:p>
      <w:pPr>
        <w:spacing w:after="200"/>
      </w:pPr>
    </w:p>
    <w:p>
      <w:pPr>
        <w:pStyle w:val="Heading3"/>
      </w:pPr>
      <w:r>
        <w:t xml:space="preserve">4.2 Passenger profile &amp; the consent product</w:t>
      </w:r>
    </w:p>
    <w:p>
      <w:pPr>
        <w:spacing w:after="160"/>
      </w:pPr>
      <w:r>
        <w:t xml:space="preserve">The passenger profile is a product in its own right, not a form. It runs on the touchscreen during the natural dead time of a journey and is designed around a simple bargain: more disclosure, more reward, always reversible.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tblHeader/>
        </w:trPr>
        <w:tc>
          <w:tcPr>
            <w:tcW w:type="dxa" w:w="2340"/>
            <w:tcBorders>
              <w:top w:val="single" w:color="D9DEE5" w:sz="1"/>
              <w:left w:val="single" w:color="D9DEE5" w:sz="1"/>
              <w:bottom w:val="single" w:color="D9DEE5" w:sz="1"/>
              <w:right w:val="single" w:color="D9DEE5" w:sz="1"/>
            </w:tcBorders>
            <w:shd w:fill="1E2530" w:val="clear"/>
            <w:tcMar>
              <w:top w:type="dxa" w:w="80"/>
              <w:left w:type="dxa" w:w="120"/>
              <w:bottom w:type="dxa" w:w="80"/>
              <w:right w:type="dxa" w:w="120"/>
            </w:tcMar>
          </w:tcPr>
          <w:p>
            <w:r>
              <w:rPr>
                <w:b/>
                <w:bCs/>
                <w:color w:val="FFFFFF"/>
                <w:sz w:val="19"/>
                <w:szCs w:val="19"/>
              </w:rPr>
              <w:t xml:space="preserve">Tier</w:t>
            </w:r>
          </w:p>
        </w:tc>
        <w:tc>
          <w:tcPr>
            <w:tcW w:type="dxa" w:w="2340"/>
            <w:tcBorders>
              <w:top w:val="single" w:color="D9DEE5" w:sz="1"/>
              <w:left w:val="single" w:color="D9DEE5" w:sz="1"/>
              <w:bottom w:val="single" w:color="D9DEE5" w:sz="1"/>
              <w:right w:val="single" w:color="D9DEE5" w:sz="1"/>
            </w:tcBorders>
            <w:shd w:fill="1E2530" w:val="clear"/>
            <w:tcMar>
              <w:top w:type="dxa" w:w="80"/>
              <w:left w:type="dxa" w:w="120"/>
              <w:bottom w:type="dxa" w:w="80"/>
              <w:right w:type="dxa" w:w="120"/>
            </w:tcMar>
          </w:tcPr>
          <w:p>
            <w:r>
              <w:rPr>
                <w:b/>
                <w:bCs/>
                <w:color w:val="FFFFFF"/>
                <w:sz w:val="19"/>
                <w:szCs w:val="19"/>
              </w:rPr>
              <w:t xml:space="preserve">Passenger gives</w:t>
            </w:r>
          </w:p>
        </w:tc>
        <w:tc>
          <w:tcPr>
            <w:tcW w:type="dxa" w:w="2340"/>
            <w:tcBorders>
              <w:top w:val="single" w:color="D9DEE5" w:sz="1"/>
              <w:left w:val="single" w:color="D9DEE5" w:sz="1"/>
              <w:bottom w:val="single" w:color="D9DEE5" w:sz="1"/>
              <w:right w:val="single" w:color="D9DEE5" w:sz="1"/>
            </w:tcBorders>
            <w:shd w:fill="1E2530" w:val="clear"/>
            <w:tcMar>
              <w:top w:type="dxa" w:w="80"/>
              <w:left w:type="dxa" w:w="120"/>
              <w:bottom w:type="dxa" w:w="80"/>
              <w:right w:type="dxa" w:w="120"/>
            </w:tcMar>
          </w:tcPr>
          <w:p>
            <w:r>
              <w:rPr>
                <w:b/>
                <w:bCs/>
                <w:color w:val="FFFFFF"/>
                <w:sz w:val="19"/>
                <w:szCs w:val="19"/>
              </w:rPr>
              <w:t xml:space="preserve">Passenger gets</w:t>
            </w:r>
          </w:p>
        </w:tc>
        <w:tc>
          <w:tcPr>
            <w:tcW w:type="dxa" w:w="2340"/>
            <w:tcBorders>
              <w:top w:val="single" w:color="D9DEE5" w:sz="1"/>
              <w:left w:val="single" w:color="D9DEE5" w:sz="1"/>
              <w:bottom w:val="single" w:color="D9DEE5" w:sz="1"/>
              <w:right w:val="single" w:color="D9DEE5" w:sz="1"/>
            </w:tcBorders>
            <w:shd w:fill="1E2530" w:val="clear"/>
            <w:tcMar>
              <w:top w:type="dxa" w:w="80"/>
              <w:left w:type="dxa" w:w="120"/>
              <w:bottom w:type="dxa" w:w="80"/>
              <w:right w:type="dxa" w:w="120"/>
            </w:tcMar>
          </w:tcPr>
          <w:p>
            <w:r>
              <w:rPr>
                <w:b/>
                <w:bCs/>
                <w:color w:val="FFFFFF"/>
                <w:sz w:val="19"/>
                <w:szCs w:val="19"/>
              </w:rPr>
              <w:t xml:space="preserve">Target take-up</w:t>
            </w:r>
          </w:p>
        </w:tc>
      </w:tr>
      <w:tr>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T0 · Anonymous</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Nothing. Ambient journey and play data only, never linked to a person</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Free content, ride info</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100% of rides</w:t>
            </w:r>
          </w:p>
        </w:tc>
      </w:tr>
      <w:tr>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T1 · Basic</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Age band, gender, trip purpose — three taps</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Instant coupon or entry to daily prize draw</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25–35% of rides</w:t>
            </w:r>
          </w:p>
        </w:tc>
      </w:tr>
      <w:tr>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T2 · Rich</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Interests, category usage, 2–3 survey answers</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Points balance, higher-value voucher</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10–15% of rides</w:t>
            </w:r>
          </w:p>
        </w:tc>
      </w:tr>
      <w:tr>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T3 · Linked</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Loyalty number or verified phone/email, persistent ID</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Personalised offers, redeemable rewards, recurring points</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3–6% of rides</w:t>
            </w:r>
          </w:p>
        </w:tc>
      </w:tr>
    </w:tbl>
    <w:p>
      <w:pPr>
        <w:spacing w:after="200"/>
      </w:pPr>
    </w:p>
    <w:p>
      <w:pPr>
        <w:pStyle w:val="Heading3"/>
      </w:pPr>
      <w:r>
        <w:t xml:space="preserve">Consent UX principles</w:t>
      </w:r>
    </w:p>
    <w:p>
      <w:pPr>
        <w:pStyle w:val="ListParagraph"/>
        <w:numPr>
          <w:ilvl w:val="0"/>
          <w:numId w:val="2"/>
        </w:numPr>
        <w:spacing w:after="80"/>
      </w:pPr>
      <w:r>
        <w:t xml:space="preserve">Plain-language Thai and English, one screen, no dark patterns, no pre-ticked boxes.</w:t>
      </w:r>
    </w:p>
    <w:p>
      <w:pPr>
        <w:pStyle w:val="ListParagraph"/>
        <w:numPr>
          <w:ilvl w:val="0"/>
          <w:numId w:val="2"/>
        </w:numPr>
        <w:spacing w:after="80"/>
      </w:pPr>
      <w:r>
        <w:t xml:space="preserve">Granular toggles by purpose: network optimisation, brand insight, personalised offers, loyalty linking.</w:t>
      </w:r>
    </w:p>
    <w:p>
      <w:pPr>
        <w:pStyle w:val="ListParagraph"/>
        <w:numPr>
          <w:ilvl w:val="0"/>
          <w:numId w:val="2"/>
        </w:numPr>
        <w:spacing w:after="80"/>
      </w:pPr>
      <w:r>
        <w:t xml:space="preserve">One-tap withdrawal at any time in the ride, plus a QR to a self-serve privacy portal after the ride.</w:t>
      </w:r>
    </w:p>
    <w:p>
      <w:pPr>
        <w:pStyle w:val="ListParagraph"/>
        <w:numPr>
          <w:ilvl w:val="0"/>
          <w:numId w:val="2"/>
        </w:numPr>
        <w:spacing w:after="80"/>
      </w:pPr>
      <w:r>
        <w:t xml:space="preserve">Data minimisation by default: we store bands and zones, not exact ages and exact addresses.</w:t>
      </w:r>
    </w:p>
    <w:p>
      <w:pPr>
        <w:pStyle w:val="ListParagraph"/>
        <w:numPr>
          <w:ilvl w:val="0"/>
          <w:numId w:val="2"/>
        </w:numPr>
        <w:spacing w:after="80"/>
      </w:pPr>
      <w:r>
        <w:t xml:space="preserve">Every consent event is logged immutably with version of the notice shown — this is the audit trail.</w:t>
      </w:r>
    </w:p>
    <w:p>
      <w:pPr>
        <w:pStyle w:val="Heading3"/>
      </w:pPr>
      <w:r>
        <w:t xml:space="preserve">4.3 Incentive economics</w:t>
      </w:r>
    </w:p>
    <w:p>
      <w:pPr>
        <w:spacing w:after="160"/>
      </w:pPr>
      <w:r>
        <w:t xml:space="preserve">The reward is a real cost line and must be engineered, not improvised. The goal is to have brands, not MotionReach, fund most of it: a voucher from an advertiser is inventory to them and cash-equivalent to the passenger.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tblHeader/>
        </w:trPr>
        <w:tc>
          <w:tcPr>
            <w:tcW w:type="dxa" w:w="2340"/>
            <w:tcBorders>
              <w:top w:val="single" w:color="D9DEE5" w:sz="1"/>
              <w:left w:val="single" w:color="D9DEE5" w:sz="1"/>
              <w:bottom w:val="single" w:color="D9DEE5" w:sz="1"/>
              <w:right w:val="single" w:color="D9DEE5" w:sz="1"/>
            </w:tcBorders>
            <w:shd w:fill="1E2530" w:val="clear"/>
            <w:tcMar>
              <w:top w:type="dxa" w:w="80"/>
              <w:left w:type="dxa" w:w="120"/>
              <w:bottom w:type="dxa" w:w="80"/>
              <w:right w:type="dxa" w:w="120"/>
            </w:tcMar>
          </w:tcPr>
          <w:p>
            <w:r>
              <w:rPr>
                <w:b/>
                <w:bCs/>
                <w:color w:val="FFFFFF"/>
                <w:sz w:val="19"/>
                <w:szCs w:val="19"/>
              </w:rPr>
              <w:t xml:space="preserve">Reward type</w:t>
            </w:r>
          </w:p>
        </w:tc>
        <w:tc>
          <w:tcPr>
            <w:tcW w:type="dxa" w:w="2340"/>
            <w:tcBorders>
              <w:top w:val="single" w:color="D9DEE5" w:sz="1"/>
              <w:left w:val="single" w:color="D9DEE5" w:sz="1"/>
              <w:bottom w:val="single" w:color="D9DEE5" w:sz="1"/>
              <w:right w:val="single" w:color="D9DEE5" w:sz="1"/>
            </w:tcBorders>
            <w:shd w:fill="1E2530" w:val="clear"/>
            <w:tcMar>
              <w:top w:type="dxa" w:w="80"/>
              <w:left w:type="dxa" w:w="120"/>
              <w:bottom w:type="dxa" w:w="80"/>
              <w:right w:type="dxa" w:w="120"/>
            </w:tcMar>
          </w:tcPr>
          <w:p>
            <w:r>
              <w:rPr>
                <w:b/>
                <w:bCs/>
                <w:color w:val="FFFFFF"/>
                <w:sz w:val="19"/>
                <w:szCs w:val="19"/>
              </w:rPr>
              <w:t xml:space="preserve">Indicative unit cost</w:t>
            </w:r>
          </w:p>
        </w:tc>
        <w:tc>
          <w:tcPr>
            <w:tcW w:type="dxa" w:w="2340"/>
            <w:tcBorders>
              <w:top w:val="single" w:color="D9DEE5" w:sz="1"/>
              <w:left w:val="single" w:color="D9DEE5" w:sz="1"/>
              <w:bottom w:val="single" w:color="D9DEE5" w:sz="1"/>
              <w:right w:val="single" w:color="D9DEE5" w:sz="1"/>
            </w:tcBorders>
            <w:shd w:fill="1E2530" w:val="clear"/>
            <w:tcMar>
              <w:top w:type="dxa" w:w="80"/>
              <w:left w:type="dxa" w:w="120"/>
              <w:bottom w:type="dxa" w:w="80"/>
              <w:right w:type="dxa" w:w="120"/>
            </w:tcMar>
          </w:tcPr>
          <w:p>
            <w:r>
              <w:rPr>
                <w:b/>
                <w:bCs/>
                <w:color w:val="FFFFFF"/>
                <w:sz w:val="19"/>
                <w:szCs w:val="19"/>
              </w:rPr>
              <w:t xml:space="preserve">Best used for</w:t>
            </w:r>
          </w:p>
        </w:tc>
        <w:tc>
          <w:tcPr>
            <w:tcW w:type="dxa" w:w="2340"/>
            <w:tcBorders>
              <w:top w:val="single" w:color="D9DEE5" w:sz="1"/>
              <w:left w:val="single" w:color="D9DEE5" w:sz="1"/>
              <w:bottom w:val="single" w:color="D9DEE5" w:sz="1"/>
              <w:right w:val="single" w:color="D9DEE5" w:sz="1"/>
            </w:tcBorders>
            <w:shd w:fill="1E2530" w:val="clear"/>
            <w:tcMar>
              <w:top w:type="dxa" w:w="80"/>
              <w:left w:type="dxa" w:w="120"/>
              <w:bottom w:type="dxa" w:w="80"/>
              <w:right w:type="dxa" w:w="120"/>
            </w:tcMar>
          </w:tcPr>
          <w:p>
            <w:r>
              <w:rPr>
                <w:b/>
                <w:bCs/>
                <w:color w:val="FFFFFF"/>
                <w:sz w:val="19"/>
                <w:szCs w:val="19"/>
              </w:rPr>
              <w:t xml:space="preserve">Funded by</w:t>
            </w:r>
          </w:p>
        </w:tc>
      </w:tr>
      <w:tr>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Prize draw entry</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Near zero at scale</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T1 profile completion</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MotionReach</w:t>
            </w:r>
          </w:p>
        </w:tc>
      </w:tr>
      <w:tr>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Brand voucher / coupon</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Zero marginal cost to brand</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T1–T2, category surveys</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Advertiser</w:t>
            </w:r>
          </w:p>
        </w:tc>
      </w:tr>
      <w:tr>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Points balance</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Accrued liability, redeemed &lt;60%</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T2–T3 repeat engagement</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Shared</w:t>
            </w:r>
          </w:p>
        </w:tc>
      </w:tr>
      <w:tr>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Ride credit / discount</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Highest cost</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T3 loyalty linking, panel recruitment</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MotionReach + fleet</w:t>
            </w:r>
          </w:p>
        </w:tc>
      </w:tr>
    </w:tbl>
    <w:p>
      <w:pPr>
        <w:spacing w:after="200"/>
      </w:pPr>
    </w:p>
    <w:p>
      <w:pPr>
        <w:spacing w:after="160"/>
      </w:pPr>
      <w:r>
        <w:t xml:space="preserve">Target unit economics: blended cost per completed T2 profile under THB 12, against an insight and measurement revenue per profiled ride that should exceed THB 40 by H2. Cost per profile is a board-level KPI from month one.</w:t>
      </w:r>
    </w:p>
    <w:p>
      <w:pPr>
        <w:pStyle w:val="Heading3"/>
      </w:pPr>
      <w:r>
        <w:t xml:space="preserve">4.4 Survey and insight capture</w:t>
      </w:r>
    </w:p>
    <w:p>
      <w:pPr>
        <w:pStyle w:val="ListParagraph"/>
        <w:numPr>
          <w:ilvl w:val="0"/>
          <w:numId w:val="2"/>
        </w:numPr>
        <w:spacing w:after="80"/>
      </w:pPr>
      <w:r>
        <w:t xml:space="preserve">Maximum three questions per ride, single-tap answers, under 20 seconds — designed for a Bangkok traffic-light gap, not a research lab.</w:t>
      </w:r>
    </w:p>
    <w:p>
      <w:pPr>
        <w:pStyle w:val="ListParagraph"/>
        <w:numPr>
          <w:ilvl w:val="0"/>
          <w:numId w:val="2"/>
        </w:numPr>
        <w:spacing w:after="80"/>
      </w:pPr>
      <w:r>
        <w:t xml:space="preserve">A rotating question bank: a fixed core tracker (category usage, brand funnel, mood) plus client-sponsored modules.</w:t>
      </w:r>
    </w:p>
    <w:p>
      <w:pPr>
        <w:pStyle w:val="ListParagraph"/>
        <w:numPr>
          <w:ilvl w:val="0"/>
          <w:numId w:val="2"/>
        </w:numPr>
        <w:spacing w:after="80"/>
      </w:pPr>
      <w:r>
        <w:t xml:space="preserve">Quality controls: speeding detection, straight-lining detection, duplicate-device suppression, attention-check items, and per-screen response caps.</w:t>
      </w:r>
    </w:p>
    <w:p>
      <w:pPr>
        <w:pStyle w:val="ListParagraph"/>
        <w:numPr>
          <w:ilvl w:val="0"/>
          <w:numId w:val="2"/>
        </w:numPr>
        <w:spacing w:after="80"/>
      </w:pPr>
      <w:r>
        <w:t xml:space="preserve">Weighting to a Bangkok population frame using census and mobility benchmarks so results are projectable, not just descriptive.</w:t>
      </w:r>
    </w:p>
    <w:p>
      <w:pPr>
        <w:pStyle w:val="ListParagraph"/>
        <w:numPr>
          <w:ilvl w:val="0"/>
          <w:numId w:val="2"/>
        </w:numPr>
        <w:spacing w:after="80"/>
      </w:pPr>
      <w:r>
        <w:t xml:space="preserve">Field capacity model: at 500 screens and ~14 rides/screen/day, a 12% T2 rate yields roughly 25,000 profiled rides per month — enough for national topline cuts within one month and district cuts within a quarter.</w:t>
      </w:r>
    </w:p>
    <w:p>
      <w:pPr>
        <w:pStyle w:val="Heading3"/>
      </w:pPr>
      <w:r>
        <w:t xml:space="preserve">4.5 QR and offline-to-online attribution</w:t>
      </w:r>
    </w:p>
    <w:p>
      <w:pPr>
        <w:pStyle w:val="ListParagraph"/>
        <w:numPr>
          <w:ilvl w:val="0"/>
          <w:numId w:val="3"/>
        </w:numPr>
        <w:spacing w:after="80"/>
      </w:pPr>
      <w:r>
        <w:t xml:space="preserve">Every play renders a QR encoding a unique play token: screen ID, creative ID, timestamp, geo cell and session hash.</w:t>
      </w:r>
    </w:p>
    <w:p>
      <w:pPr>
        <w:pStyle w:val="ListParagraph"/>
        <w:numPr>
          <w:ilvl w:val="0"/>
          <w:numId w:val="3"/>
        </w:numPr>
        <w:spacing w:after="80"/>
      </w:pPr>
      <w:r>
        <w:t xml:space="preserve">Scanning hits the MotionReach redirect service, which records the scan and forwards to the client destination with tagged parameters.</w:t>
      </w:r>
    </w:p>
    <w:p>
      <w:pPr>
        <w:pStyle w:val="ListParagraph"/>
        <w:numPr>
          <w:ilvl w:val="0"/>
          <w:numId w:val="3"/>
        </w:numPr>
        <w:spacing w:after="80"/>
      </w:pPr>
      <w:r>
        <w:t xml:space="preserve">Online outcomes come back through a client pixel, server-side conversion API, or a shared campaign parameter — matched on the play token.</w:t>
      </w:r>
    </w:p>
    <w:p>
      <w:pPr>
        <w:pStyle w:val="ListParagraph"/>
        <w:numPr>
          <w:ilvl w:val="0"/>
          <w:numId w:val="3"/>
        </w:numPr>
        <w:spacing w:after="80"/>
      </w:pPr>
      <w:r>
        <w:t xml:space="preserve">In-store outcomes come back through POS transaction files, loyalty redemption of a MotionReach-issued code, or geo-visit measurement against store polygons.</w:t>
      </w:r>
    </w:p>
    <w:p>
      <w:pPr>
        <w:pStyle w:val="ListParagraph"/>
        <w:numPr>
          <w:ilvl w:val="0"/>
          <w:numId w:val="3"/>
        </w:numPr>
        <w:spacing w:after="80"/>
      </w:pPr>
      <w:r>
        <w:t xml:space="preserve">Every campaign reserves a holdout: matched screens or matched districts that never carry the creative, providing the counterfactual.</w:t>
      </w:r>
    </w:p>
    <w:p>
      <w:pPr>
        <w:pBdr>
          <w:left w:val="single" w:color="C08A2E" w:sz="18" w:space="8"/>
        </w:pBdr>
        <w:spacing w:after="40" w:before="120"/>
      </w:pPr>
      <w:r>
        <w:rPr>
          <w:b/>
          <w:bCs/>
          <w:color w:val="8A5F14"/>
        </w:rPr>
        <w:t xml:space="preserve">The token is the asset</w:t>
      </w:r>
    </w:p>
    <w:p>
      <w:pPr>
        <w:pBdr>
          <w:left w:val="single" w:color="C08A2E" w:sz="18" w:space="8"/>
        </w:pBdr>
        <w:spacing w:after="200"/>
      </w:pPr>
      <w:r>
        <w:rPr>
          <w:i/>
          <w:iCs/>
        </w:rPr>
        <w:t xml:space="preserve">Unique per-play tokens are what separate MotionReach from every DOOH network that prints one campaign QR. They convert a scan from a vanity metric into a traceable link between one exposure and one action.</w:t>
      </w:r>
    </w:p>
    <w:p>
      <w:pPr>
        <w:pStyle w:val="Heading3"/>
      </w:pPr>
      <w:r>
        <w:t xml:space="preserve">4.6 Client-side data partnerships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tcBorders>
              <w:top w:val="single" w:color="D9DEE5" w:sz="1"/>
              <w:left w:val="single" w:color="D9DEE5" w:sz="1"/>
              <w:bottom w:val="single" w:color="D9DEE5" w:sz="1"/>
              <w:right w:val="single" w:color="D9DEE5" w:sz="1"/>
            </w:tcBorders>
            <w:shd w:fill="1E2530" w:val="clear"/>
            <w:tcMar>
              <w:top w:type="dxa" w:w="80"/>
              <w:left w:type="dxa" w:w="120"/>
              <w:bottom w:type="dxa" w:w="80"/>
              <w:right w:type="dxa" w:w="120"/>
            </w:tcMar>
          </w:tcPr>
          <w:p>
            <w:r>
              <w:rPr>
                <w:b/>
                <w:bCs/>
                <w:color w:val="FFFFFF"/>
                <w:sz w:val="19"/>
                <w:szCs w:val="19"/>
              </w:rPr>
              <w:t xml:space="preserve">We need from the client</w:t>
            </w:r>
          </w:p>
        </w:tc>
        <w:tc>
          <w:tcPr>
            <w:tcW w:type="dxa" w:w="3120"/>
            <w:tcBorders>
              <w:top w:val="single" w:color="D9DEE5" w:sz="1"/>
              <w:left w:val="single" w:color="D9DEE5" w:sz="1"/>
              <w:bottom w:val="single" w:color="D9DEE5" w:sz="1"/>
              <w:right w:val="single" w:color="D9DEE5" w:sz="1"/>
            </w:tcBorders>
            <w:shd w:fill="1E2530" w:val="clear"/>
            <w:tcMar>
              <w:top w:type="dxa" w:w="80"/>
              <w:left w:type="dxa" w:w="120"/>
              <w:bottom w:type="dxa" w:w="80"/>
              <w:right w:type="dxa" w:w="120"/>
            </w:tcMar>
          </w:tcPr>
          <w:p>
            <w:r>
              <w:rPr>
                <w:b/>
                <w:bCs/>
                <w:color w:val="FFFFFF"/>
                <w:sz w:val="19"/>
                <w:szCs w:val="19"/>
              </w:rPr>
              <w:t xml:space="preserve">They get in return</w:t>
            </w:r>
          </w:p>
        </w:tc>
        <w:tc>
          <w:tcPr>
            <w:tcW w:type="dxa" w:w="3120"/>
            <w:tcBorders>
              <w:top w:val="single" w:color="D9DEE5" w:sz="1"/>
              <w:left w:val="single" w:color="D9DEE5" w:sz="1"/>
              <w:bottom w:val="single" w:color="D9DEE5" w:sz="1"/>
              <w:right w:val="single" w:color="D9DEE5" w:sz="1"/>
            </w:tcBorders>
            <w:shd w:fill="1E2530" w:val="clear"/>
            <w:tcMar>
              <w:top w:type="dxa" w:w="80"/>
              <w:left w:type="dxa" w:w="120"/>
              <w:bottom w:type="dxa" w:w="80"/>
              <w:right w:type="dxa" w:w="120"/>
            </w:tcMar>
          </w:tcPr>
          <w:p>
            <w:r>
              <w:rPr>
                <w:b/>
                <w:bCs/>
                <w:color w:val="FFFFFF"/>
                <w:sz w:val="19"/>
                <w:szCs w:val="19"/>
              </w:rPr>
              <w:t xml:space="preserve">Mechanism</w:t>
            </w:r>
          </w:p>
        </w:tc>
      </w:tr>
      <w:tr>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Conversion pixel or server-side event feed</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True cost-per-acquisition for the channel</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Tag or CAPI integration, 1-week setup</w:t>
            </w:r>
          </w:p>
        </w:tc>
      </w:tr>
      <w:tr>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Store list with geofences</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Store-level visit lift and catchment mapping</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One-off CSV, refreshed quarterly</w:t>
            </w:r>
          </w:p>
        </w:tc>
      </w:tr>
      <w:tr>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Aggregated POS sales by store by day</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Sales lift vs holdout, ROI in baht</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Weekly secure file drop, no PII</w:t>
            </w:r>
          </w:p>
        </w:tc>
      </w:tr>
      <w:tr>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Loyalty programme code acceptance</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New member acquisition from the taxi channel</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Coupon code pool issued by MotionReach</w:t>
            </w:r>
          </w:p>
        </w:tc>
      </w:tr>
    </w:tbl>
    <w:p>
      <w:pPr>
        <w:spacing w:after="200"/>
      </w:pPr>
    </w:p>
    <w:p>
      <w:pPr>
        <w:spacing w:after="160"/>
      </w:pPr>
      <w:r>
        <w:t xml:space="preserve">Loyalty is a distinct wedge for banks, fuel, pharmacy, grocery and airline categories: a passenger enters their loyalty number on the screen, is served member-only offers for the rest of the journey, and the brand gets a clean, consented, in-journey activation channel with closed-loop redemption data.</w:t>
      </w:r>
    </w:p>
    <w:p>
      <w:pPr>
        <w:pStyle w:val="Heading3"/>
      </w:pPr>
      <w:r>
        <w:t xml:space="preserve">4.7 PDPA and governance</w:t>
      </w:r>
    </w:p>
    <w:p>
      <w:pPr>
        <w:pStyle w:val="ListParagraph"/>
        <w:numPr>
          <w:ilvl w:val="0"/>
          <w:numId w:val="2"/>
        </w:numPr>
        <w:spacing w:after="80"/>
      </w:pPr>
      <w:r>
        <w:t xml:space="preserve">Lawful basis: explicit consent for profile and personalisation; legitimate interest only for aggregated network operations.</w:t>
      </w:r>
    </w:p>
    <w:p>
      <w:pPr>
        <w:pStyle w:val="ListParagraph"/>
        <w:numPr>
          <w:ilvl w:val="0"/>
          <w:numId w:val="2"/>
        </w:numPr>
        <w:spacing w:after="80"/>
      </w:pPr>
      <w:r>
        <w:t xml:space="preserve">Consent register with notice versioning, timestamp, and tier — retrievable per data subject.</w:t>
      </w:r>
    </w:p>
    <w:p>
      <w:pPr>
        <w:pStyle w:val="ListParagraph"/>
        <w:numPr>
          <w:ilvl w:val="0"/>
          <w:numId w:val="2"/>
        </w:numPr>
        <w:spacing w:after="80"/>
      </w:pPr>
      <w:r>
        <w:t xml:space="preserve">Retention: raw personal records 12 months, aggregated and de-identified analytics indefinitely; automated purge jobs, not manual cleanups.</w:t>
      </w:r>
    </w:p>
    <w:p>
      <w:pPr>
        <w:pStyle w:val="ListParagraph"/>
        <w:numPr>
          <w:ilvl w:val="0"/>
          <w:numId w:val="2"/>
        </w:numPr>
        <w:spacing w:after="80"/>
      </w:pPr>
      <w:r>
        <w:t xml:space="preserve">Aggregation floor: no cut published below the sample thresholds; small cells suppressed rather than rounded.</w:t>
      </w:r>
    </w:p>
    <w:p>
      <w:pPr>
        <w:pStyle w:val="ListParagraph"/>
        <w:numPr>
          <w:ilvl w:val="0"/>
          <w:numId w:val="2"/>
        </w:numPr>
        <w:spacing w:after="80"/>
      </w:pPr>
      <w:r>
        <w:t xml:space="preserve">Data subject rights portal: access, correction, deletion, withdrawal, served within statutory timelines.</w:t>
      </w:r>
    </w:p>
    <w:p>
      <w:pPr>
        <w:pStyle w:val="ListParagraph"/>
        <w:numPr>
          <w:ilvl w:val="0"/>
          <w:numId w:val="2"/>
        </w:numPr>
        <w:spacing w:after="80"/>
      </w:pPr>
      <w:r>
        <w:t xml:space="preserve">Contracts: DPA with every advertiser receiving data, data-sharing agreement with fleet operators, driver acknowledgement covering vehicle telemetry.</w:t>
      </w:r>
    </w:p>
    <w:p>
      <w:pPr>
        <w:pStyle w:val="ListParagraph"/>
        <w:numPr>
          <w:ilvl w:val="0"/>
          <w:numId w:val="2"/>
        </w:numPr>
        <w:spacing w:after="80"/>
      </w:pPr>
      <w:r>
        <w:t xml:space="preserve">A named Data Protection Officer and an annual third-party privacy audit once T3 linking goes live.</w:t>
      </w:r>
    </w:p>
    <w:p>
      <w:r>
        <w:br w:type="page"/>
      </w:r>
    </w:p>
    <w:p>
      <w:pPr>
        <w:spacing w:after="40"/>
      </w:pPr>
      <w:r>
        <w:rPr>
          <w:b/>
          <w:bCs/>
          <w:color w:val="8A5F14"/>
          <w:sz w:val="18"/>
          <w:szCs w:val="18"/>
        </w:rPr>
        <w:t xml:space="preserve">05 · THE MEASUREMENT FRAMEWORK</w:t>
      </w:r>
    </w:p>
    <w:p>
      <w:pPr>
        <w:pStyle w:val="Heading1"/>
      </w:pPr>
      <w:r>
        <w:t xml:space="preserve">Correlation to Causation</w:t>
      </w:r>
    </w:p>
    <w:p>
      <w:pPr>
        <w:spacing w:after="160"/>
      </w:pPr>
      <w:r>
        <w:t xml:space="preserve">Most offline measurement stops at correlation: spend went up, sales went up, therefore the ads worked. Clients have learned to discount that. The framework below moves MotionReach up the evidence ladder step by step, so that every claim we make is backed by the strongest method the available data supports.</w:t>
      </w:r>
    </w:p>
    <w:p>
      <w:pPr>
        <w:pStyle w:val="Heading3"/>
      </w:pPr>
      <w:r>
        <w:t xml:space="preserve">5.1 The metric chain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tblHeader/>
        </w:trPr>
        <w:tc>
          <w:tcPr>
            <w:tcW w:type="dxa" w:w="2340"/>
            <w:tcBorders>
              <w:top w:val="single" w:color="D9DEE5" w:sz="1"/>
              <w:left w:val="single" w:color="D9DEE5" w:sz="1"/>
              <w:bottom w:val="single" w:color="D9DEE5" w:sz="1"/>
              <w:right w:val="single" w:color="D9DEE5" w:sz="1"/>
            </w:tcBorders>
            <w:shd w:fill="1E2530" w:val="clear"/>
            <w:tcMar>
              <w:top w:type="dxa" w:w="80"/>
              <w:left w:type="dxa" w:w="120"/>
              <w:bottom w:type="dxa" w:w="80"/>
              <w:right w:type="dxa" w:w="120"/>
            </w:tcMar>
          </w:tcPr>
          <w:p>
            <w:r>
              <w:rPr>
                <w:b/>
                <w:bCs/>
                <w:color w:val="FFFFFF"/>
                <w:sz w:val="19"/>
                <w:szCs w:val="19"/>
              </w:rPr>
              <w:t xml:space="preserve">Stage</w:t>
            </w:r>
          </w:p>
        </w:tc>
        <w:tc>
          <w:tcPr>
            <w:tcW w:type="dxa" w:w="2340"/>
            <w:tcBorders>
              <w:top w:val="single" w:color="D9DEE5" w:sz="1"/>
              <w:left w:val="single" w:color="D9DEE5" w:sz="1"/>
              <w:bottom w:val="single" w:color="D9DEE5" w:sz="1"/>
              <w:right w:val="single" w:color="D9DEE5" w:sz="1"/>
            </w:tcBorders>
            <w:shd w:fill="1E2530" w:val="clear"/>
            <w:tcMar>
              <w:top w:type="dxa" w:w="80"/>
              <w:left w:type="dxa" w:w="120"/>
              <w:bottom w:type="dxa" w:w="80"/>
              <w:right w:type="dxa" w:w="120"/>
            </w:tcMar>
          </w:tcPr>
          <w:p>
            <w:r>
              <w:rPr>
                <w:b/>
                <w:bCs/>
                <w:color w:val="FFFFFF"/>
                <w:sz w:val="19"/>
                <w:szCs w:val="19"/>
              </w:rPr>
              <w:t xml:space="preserve">Metric</w:t>
            </w:r>
          </w:p>
        </w:tc>
        <w:tc>
          <w:tcPr>
            <w:tcW w:type="dxa" w:w="2340"/>
            <w:tcBorders>
              <w:top w:val="single" w:color="D9DEE5" w:sz="1"/>
              <w:left w:val="single" w:color="D9DEE5" w:sz="1"/>
              <w:bottom w:val="single" w:color="D9DEE5" w:sz="1"/>
              <w:right w:val="single" w:color="D9DEE5" w:sz="1"/>
            </w:tcBorders>
            <w:shd w:fill="1E2530" w:val="clear"/>
            <w:tcMar>
              <w:top w:type="dxa" w:w="80"/>
              <w:left w:type="dxa" w:w="120"/>
              <w:bottom w:type="dxa" w:w="80"/>
              <w:right w:type="dxa" w:w="120"/>
            </w:tcMar>
          </w:tcPr>
          <w:p>
            <w:r>
              <w:rPr>
                <w:b/>
                <w:bCs/>
                <w:color w:val="FFFFFF"/>
                <w:sz w:val="19"/>
                <w:szCs w:val="19"/>
              </w:rPr>
              <w:t xml:space="preserve">Source layer</w:t>
            </w:r>
          </w:p>
        </w:tc>
        <w:tc>
          <w:tcPr>
            <w:tcW w:type="dxa" w:w="2340"/>
            <w:tcBorders>
              <w:top w:val="single" w:color="D9DEE5" w:sz="1"/>
              <w:left w:val="single" w:color="D9DEE5" w:sz="1"/>
              <w:bottom w:val="single" w:color="D9DEE5" w:sz="1"/>
              <w:right w:val="single" w:color="D9DEE5" w:sz="1"/>
            </w:tcBorders>
            <w:shd w:fill="1E2530" w:val="clear"/>
            <w:tcMar>
              <w:top w:type="dxa" w:w="80"/>
              <w:left w:type="dxa" w:w="120"/>
              <w:bottom w:type="dxa" w:w="80"/>
              <w:right w:type="dxa" w:w="120"/>
            </w:tcMar>
          </w:tcPr>
          <w:p>
            <w:r>
              <w:rPr>
                <w:b/>
                <w:bCs/>
                <w:color w:val="FFFFFF"/>
                <w:sz w:val="19"/>
                <w:szCs w:val="19"/>
              </w:rPr>
              <w:t xml:space="preserve">Evidence strength</w:t>
            </w:r>
          </w:p>
        </w:tc>
      </w:tr>
      <w:tr>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1. Investment</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Spend, cost per screen-hour</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Booking system</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Fact</w:t>
            </w:r>
          </w:p>
        </w:tc>
      </w:tr>
      <w:tr>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2. Delivery</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Verified plays, screen-hours delivered</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Device layer</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Fact</w:t>
            </w:r>
          </w:p>
        </w:tc>
      </w:tr>
      <w:tr>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3. Exposure</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Unique passengers, reach, frequency</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Mobility + passenger</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Modelled, validated</w:t>
            </w:r>
          </w:p>
        </w:tc>
      </w:tr>
      <w:tr>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4. Attention</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Touch rate, completed views, dwell</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Engagement</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Observed</w:t>
            </w:r>
          </w:p>
        </w:tc>
      </w:tr>
      <w:tr>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5. Activation</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QR scans, deep-link opens per 1,000</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Engagement</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Observed, deterministic</w:t>
            </w:r>
          </w:p>
        </w:tc>
      </w:tr>
      <w:tr>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6. Response</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Site visits, store visits, leads</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Outcome</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Matched</w:t>
            </w:r>
          </w:p>
        </w:tc>
      </w:tr>
      <w:tr>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7. Outcome</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Purchases, revenue, ROAS</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Outcome</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Matched</w:t>
            </w:r>
          </w:p>
        </w:tc>
      </w:tr>
      <w:tr>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8. Incrementality</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Lift vs holdout, incremental ROAS</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Experiment design</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Causal</w:t>
            </w:r>
          </w:p>
        </w:tc>
      </w:tr>
    </w:tbl>
    <w:p>
      <w:pPr>
        <w:spacing w:after="200"/>
      </w:pPr>
    </w:p>
    <w:p>
      <w:pPr>
        <w:pStyle w:val="Heading3"/>
      </w:pPr>
      <w:r>
        <w:t xml:space="preserve">5.2 Methods by data maturity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tblHeader/>
        </w:trPr>
        <w:tc>
          <w:tcPr>
            <w:tcW w:type="dxa" w:w="2340"/>
            <w:tcBorders>
              <w:top w:val="single" w:color="D9DEE5" w:sz="1"/>
              <w:left w:val="single" w:color="D9DEE5" w:sz="1"/>
              <w:bottom w:val="single" w:color="D9DEE5" w:sz="1"/>
              <w:right w:val="single" w:color="D9DEE5" w:sz="1"/>
            </w:tcBorders>
            <w:shd w:fill="1E2530" w:val="clear"/>
            <w:tcMar>
              <w:top w:type="dxa" w:w="80"/>
              <w:left w:type="dxa" w:w="120"/>
              <w:bottom w:type="dxa" w:w="80"/>
              <w:right w:type="dxa" w:w="120"/>
            </w:tcMar>
          </w:tcPr>
          <w:p>
            <w:r>
              <w:rPr>
                <w:b/>
                <w:bCs/>
                <w:color w:val="FFFFFF"/>
                <w:sz w:val="19"/>
                <w:szCs w:val="19"/>
              </w:rPr>
              <w:t xml:space="preserve">Method</w:t>
            </w:r>
          </w:p>
        </w:tc>
        <w:tc>
          <w:tcPr>
            <w:tcW w:type="dxa" w:w="2340"/>
            <w:tcBorders>
              <w:top w:val="single" w:color="D9DEE5" w:sz="1"/>
              <w:left w:val="single" w:color="D9DEE5" w:sz="1"/>
              <w:bottom w:val="single" w:color="D9DEE5" w:sz="1"/>
              <w:right w:val="single" w:color="D9DEE5" w:sz="1"/>
            </w:tcBorders>
            <w:shd w:fill="1E2530" w:val="clear"/>
            <w:tcMar>
              <w:top w:type="dxa" w:w="80"/>
              <w:left w:type="dxa" w:w="120"/>
              <w:bottom w:type="dxa" w:w="80"/>
              <w:right w:type="dxa" w:w="120"/>
            </w:tcMar>
          </w:tcPr>
          <w:p>
            <w:r>
              <w:rPr>
                <w:b/>
                <w:bCs/>
                <w:color w:val="FFFFFF"/>
                <w:sz w:val="19"/>
                <w:szCs w:val="19"/>
              </w:rPr>
              <w:t xml:space="preserve">Requires</w:t>
            </w:r>
          </w:p>
        </w:tc>
        <w:tc>
          <w:tcPr>
            <w:tcW w:type="dxa" w:w="2340"/>
            <w:tcBorders>
              <w:top w:val="single" w:color="D9DEE5" w:sz="1"/>
              <w:left w:val="single" w:color="D9DEE5" w:sz="1"/>
              <w:bottom w:val="single" w:color="D9DEE5" w:sz="1"/>
              <w:right w:val="single" w:color="D9DEE5" w:sz="1"/>
            </w:tcBorders>
            <w:shd w:fill="1E2530" w:val="clear"/>
            <w:tcMar>
              <w:top w:type="dxa" w:w="80"/>
              <w:left w:type="dxa" w:w="120"/>
              <w:bottom w:type="dxa" w:w="80"/>
              <w:right w:type="dxa" w:w="120"/>
            </w:tcMar>
          </w:tcPr>
          <w:p>
            <w:r>
              <w:rPr>
                <w:b/>
                <w:bCs/>
                <w:color w:val="FFFFFF"/>
                <w:sz w:val="19"/>
                <w:szCs w:val="19"/>
              </w:rPr>
              <w:t xml:space="preserve">Answers</w:t>
            </w:r>
          </w:p>
        </w:tc>
        <w:tc>
          <w:tcPr>
            <w:tcW w:type="dxa" w:w="2340"/>
            <w:tcBorders>
              <w:top w:val="single" w:color="D9DEE5" w:sz="1"/>
              <w:left w:val="single" w:color="D9DEE5" w:sz="1"/>
              <w:bottom w:val="single" w:color="D9DEE5" w:sz="1"/>
              <w:right w:val="single" w:color="D9DEE5" w:sz="1"/>
            </w:tcBorders>
            <w:shd w:fill="1E2530" w:val="clear"/>
            <w:tcMar>
              <w:top w:type="dxa" w:w="80"/>
              <w:left w:type="dxa" w:w="120"/>
              <w:bottom w:type="dxa" w:w="80"/>
              <w:right w:type="dxa" w:w="120"/>
            </w:tcMar>
          </w:tcPr>
          <w:p>
            <w:r>
              <w:rPr>
                <w:b/>
                <w:bCs/>
                <w:color w:val="FFFFFF"/>
                <w:sz w:val="19"/>
                <w:szCs w:val="19"/>
              </w:rPr>
              <w:t xml:space="preserve">Available from</w:t>
            </w:r>
          </w:p>
        </w:tc>
      </w:tr>
      <w:tr>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Deterministic scan attribution</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Unique per-play QR + client landing tag</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Which exposures produced actions</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H1</w:t>
            </w:r>
          </w:p>
        </w:tc>
      </w:tr>
      <w:tr>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Screen-level on/off test</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Ability to withhold creative from matched screens</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Did exposure cause the action</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H1</w:t>
            </w:r>
          </w:p>
        </w:tc>
      </w:tr>
      <w:tr>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Matched-district geo holdout</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District-level delivery control + client sales by area</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Sales lift attributable to the channel</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H1–H2</w:t>
            </w:r>
          </w:p>
        </w:tc>
      </w:tr>
      <w:tr>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Pre/post with control cohort</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Profiled panel, exposed vs unexposed</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Brand and behaviour shift</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H2</w:t>
            </w:r>
          </w:p>
        </w:tc>
      </w:tr>
      <w:tr>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Incrementality modelling</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Sustained volume across many campaigns</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Incremental ROAS and saturation curves</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H2–H3</w:t>
            </w:r>
          </w:p>
        </w:tc>
      </w:tr>
      <w:tr>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Channel contribution in MMM</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Long time series + client marketing data</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Where mobility media sits in the media mix</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H3</w:t>
            </w:r>
          </w:p>
        </w:tc>
      </w:tr>
    </w:tbl>
    <w:p>
      <w:pPr>
        <w:spacing w:after="200"/>
      </w:pPr>
    </w:p>
    <w:p>
      <w:pPr>
        <w:pStyle w:val="Heading3"/>
      </w:pPr>
      <w:r>
        <w:t xml:space="preserve">5.3 Design rules that protect causality</w:t>
      </w:r>
    </w:p>
    <w:p>
      <w:pPr>
        <w:pStyle w:val="ListParagraph"/>
        <w:numPr>
          <w:ilvl w:val="0"/>
          <w:numId w:val="2"/>
        </w:numPr>
        <w:spacing w:after="80"/>
      </w:pPr>
      <w:r>
        <w:t xml:space="preserve">Holdouts are the default, not an upsell. Every campaign above a spend threshold reserves 10–15% of matched inventory as control.</w:t>
      </w:r>
    </w:p>
    <w:p>
      <w:pPr>
        <w:pStyle w:val="ListParagraph"/>
        <w:numPr>
          <w:ilvl w:val="0"/>
          <w:numId w:val="2"/>
        </w:numPr>
        <w:spacing w:after="80"/>
      </w:pPr>
      <w:r>
        <w:t xml:space="preserve">Randomise at the unit we can control — screen or district — and match on historical delivery, daypart mix and passenger profile.</w:t>
      </w:r>
    </w:p>
    <w:p>
      <w:pPr>
        <w:pStyle w:val="ListParagraph"/>
        <w:numPr>
          <w:ilvl w:val="0"/>
          <w:numId w:val="2"/>
        </w:numPr>
        <w:spacing w:after="80"/>
      </w:pPr>
      <w:r>
        <w:t xml:space="preserve">Pre-register the primary metric and the analysis window before the campaign runs. No post-hoc metric shopping.</w:t>
      </w:r>
    </w:p>
    <w:p>
      <w:pPr>
        <w:pStyle w:val="ListParagraph"/>
        <w:numPr>
          <w:ilvl w:val="0"/>
          <w:numId w:val="2"/>
        </w:numPr>
        <w:spacing w:after="80"/>
      </w:pPr>
      <w:r>
        <w:t xml:space="preserve">Always report a confidence interval alongside the point estimate; a lift without an interval is marketing, not measurement.</w:t>
      </w:r>
    </w:p>
    <w:p>
      <w:pPr>
        <w:pStyle w:val="ListParagraph"/>
        <w:numPr>
          <w:ilvl w:val="0"/>
          <w:numId w:val="2"/>
        </w:numPr>
        <w:spacing w:after="80"/>
      </w:pPr>
      <w:r>
        <w:t xml:space="preserve">Separate observed facts from modelled estimates visually and in writing, in every deliverable.</w:t>
      </w:r>
    </w:p>
    <w:p>
      <w:pPr>
        <w:pBdr>
          <w:left w:val="single" w:color="C08A2E" w:sz="18" w:space="8"/>
        </w:pBdr>
        <w:spacing w:after="40" w:before="120"/>
      </w:pPr>
      <w:r>
        <w:rPr>
          <w:b/>
          <w:bCs/>
          <w:color w:val="8A5F14"/>
        </w:rPr>
        <w:t xml:space="preserve">Validating the Index</w:t>
      </w:r>
    </w:p>
    <w:p>
      <w:pPr>
        <w:pBdr>
          <w:left w:val="single" w:color="C08A2E" w:sz="18" w:space="8"/>
        </w:pBdr>
        <w:spacing w:after="200"/>
      </w:pPr>
      <w:r>
        <w:rPr>
          <w:i/>
          <w:iCs/>
        </w:rPr>
        <w:t xml:space="preserve">MRCI is validated by back-testing: score campaigns using exposure, attention and activation only, then check that the score predicts the independently measured incremental lift. Publish that correlation annually. If the Index does not predict lift, the Index changes.</w:t>
      </w:r>
    </w:p>
    <w:p>
      <w:r>
        <w:br w:type="page"/>
      </w:r>
    </w:p>
    <w:p>
      <w:pPr>
        <w:spacing w:after="40"/>
      </w:pPr>
      <w:r>
        <w:rPr>
          <w:b/>
          <w:bCs/>
          <w:color w:val="8A5F14"/>
          <w:sz w:val="18"/>
          <w:szCs w:val="18"/>
        </w:rPr>
        <w:t xml:space="preserve">06 · FOUR REVENUE LINES FROM ONE PIPELINE</w:t>
      </w:r>
    </w:p>
    <w:p>
      <w:pPr>
        <w:pStyle w:val="Heading1"/>
      </w:pPr>
      <w:r>
        <w:t xml:space="preserve">Module B — Commercialisation</w:t>
      </w:r>
    </w:p>
    <w:p>
      <w:pPr>
        <w:spacing w:after="160"/>
      </w:pPr>
      <w:r>
        <w:t xml:space="preserve">Data Services should not be given away to protect media revenue. It is a higher-margin business than media, it defends the media business, and it should be priced and staffed as a separate P&amp;L from day one.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tblHeader/>
        </w:trPr>
        <w:tc>
          <w:tcPr>
            <w:tcW w:type="dxa" w:w="2340"/>
            <w:tcBorders>
              <w:top w:val="single" w:color="D9DEE5" w:sz="1"/>
              <w:left w:val="single" w:color="D9DEE5" w:sz="1"/>
              <w:bottom w:val="single" w:color="D9DEE5" w:sz="1"/>
              <w:right w:val="single" w:color="D9DEE5" w:sz="1"/>
            </w:tcBorders>
            <w:shd w:fill="1E2530" w:val="clear"/>
            <w:tcMar>
              <w:top w:type="dxa" w:w="80"/>
              <w:left w:type="dxa" w:w="120"/>
              <w:bottom w:type="dxa" w:w="80"/>
              <w:right w:type="dxa" w:w="120"/>
            </w:tcMar>
          </w:tcPr>
          <w:p>
            <w:r>
              <w:rPr>
                <w:b/>
                <w:bCs/>
                <w:color w:val="FFFFFF"/>
                <w:sz w:val="19"/>
                <w:szCs w:val="19"/>
              </w:rPr>
              <w:t xml:space="preserve">Revenue line</w:t>
            </w:r>
          </w:p>
        </w:tc>
        <w:tc>
          <w:tcPr>
            <w:tcW w:type="dxa" w:w="2340"/>
            <w:tcBorders>
              <w:top w:val="single" w:color="D9DEE5" w:sz="1"/>
              <w:left w:val="single" w:color="D9DEE5" w:sz="1"/>
              <w:bottom w:val="single" w:color="D9DEE5" w:sz="1"/>
              <w:right w:val="single" w:color="D9DEE5" w:sz="1"/>
            </w:tcBorders>
            <w:shd w:fill="1E2530" w:val="clear"/>
            <w:tcMar>
              <w:top w:type="dxa" w:w="80"/>
              <w:left w:type="dxa" w:w="120"/>
              <w:bottom w:type="dxa" w:w="80"/>
              <w:right w:type="dxa" w:w="120"/>
            </w:tcMar>
          </w:tcPr>
          <w:p>
            <w:r>
              <w:rPr>
                <w:b/>
                <w:bCs/>
                <w:color w:val="FFFFFF"/>
                <w:sz w:val="19"/>
                <w:szCs w:val="19"/>
              </w:rPr>
              <w:t xml:space="preserve">Product</w:t>
            </w:r>
          </w:p>
        </w:tc>
        <w:tc>
          <w:tcPr>
            <w:tcW w:type="dxa" w:w="2340"/>
            <w:tcBorders>
              <w:top w:val="single" w:color="D9DEE5" w:sz="1"/>
              <w:left w:val="single" w:color="D9DEE5" w:sz="1"/>
              <w:bottom w:val="single" w:color="D9DEE5" w:sz="1"/>
              <w:right w:val="single" w:color="D9DEE5" w:sz="1"/>
            </w:tcBorders>
            <w:shd w:fill="1E2530" w:val="clear"/>
            <w:tcMar>
              <w:top w:type="dxa" w:w="80"/>
              <w:left w:type="dxa" w:w="120"/>
              <w:bottom w:type="dxa" w:w="80"/>
              <w:right w:type="dxa" w:w="120"/>
            </w:tcMar>
          </w:tcPr>
          <w:p>
            <w:r>
              <w:rPr>
                <w:b/>
                <w:bCs/>
                <w:color w:val="FFFFFF"/>
                <w:sz w:val="19"/>
                <w:szCs w:val="19"/>
              </w:rPr>
              <w:t xml:space="preserve">Pricing model</w:t>
            </w:r>
          </w:p>
        </w:tc>
        <w:tc>
          <w:tcPr>
            <w:tcW w:type="dxa" w:w="2340"/>
            <w:tcBorders>
              <w:top w:val="single" w:color="D9DEE5" w:sz="1"/>
              <w:left w:val="single" w:color="D9DEE5" w:sz="1"/>
              <w:bottom w:val="single" w:color="D9DEE5" w:sz="1"/>
              <w:right w:val="single" w:color="D9DEE5" w:sz="1"/>
            </w:tcBorders>
            <w:shd w:fill="1E2530" w:val="clear"/>
            <w:tcMar>
              <w:top w:type="dxa" w:w="80"/>
              <w:left w:type="dxa" w:w="120"/>
              <w:bottom w:type="dxa" w:w="80"/>
              <w:right w:type="dxa" w:w="120"/>
            </w:tcMar>
          </w:tcPr>
          <w:p>
            <w:r>
              <w:rPr>
                <w:b/>
                <w:bCs/>
                <w:color w:val="FFFFFF"/>
                <w:sz w:val="19"/>
                <w:szCs w:val="19"/>
              </w:rPr>
              <w:t xml:space="preserve">Gross margin</w:t>
            </w:r>
          </w:p>
        </w:tc>
      </w:tr>
      <w:tr>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1 · Measurement attach</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Campaign measurement pack: MRCI score, funnel, lift readout</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5–10% of media spend, or fixed fee per campaign</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70–80%</w:t>
            </w:r>
          </w:p>
        </w:tc>
      </w:tr>
      <w:tr>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2 · Syndicated insight</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Mobility Pulse: quarterly benchmark report, free topline, paid cuts</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Annual subscription per category cut</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85%+</w:t>
            </w:r>
          </w:p>
        </w:tc>
      </w:tr>
      <w:tr>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3 · Bespoke studies</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Pre/post campaign deep dives, custom survey modules, audience studies</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Project fee, THB 250k–1.5M</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55–65%</w:t>
            </w:r>
          </w:p>
        </w:tc>
      </w:tr>
      <w:tr>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4 · Audience &amp; licensing</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Consented segments for targeting, programmatic audience layer, data licensing</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CPM uplift on media + licence fee</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80%+</w:t>
            </w:r>
          </w:p>
        </w:tc>
      </w:tr>
    </w:tbl>
    <w:p>
      <w:pPr>
        <w:spacing w:after="200"/>
      </w:pPr>
    </w:p>
    <w:p>
      <w:pPr>
        <w:pStyle w:val="Heading3"/>
      </w:pPr>
      <w:r>
        <w:t xml:space="preserve">6.1 Measurement attach</w:t>
      </w:r>
    </w:p>
    <w:p>
      <w:pPr>
        <w:spacing w:after="160"/>
      </w:pPr>
      <w:r>
        <w:t xml:space="preserve">The entry product. Every media proposal includes a measurement pack; a minority of clients opt out. It converts a media transaction into an annual relationship because the client cannot compare this year's campaign to last year's without staying on the platform.</w:t>
      </w:r>
    </w:p>
    <w:p>
      <w:pPr>
        <w:pStyle w:val="Heading3"/>
      </w:pPr>
      <w:r>
        <w:t xml:space="preserve">6.2 Syndicated insight — Mobility Pulse</w:t>
      </w:r>
    </w:p>
    <w:p>
      <w:pPr>
        <w:pStyle w:val="ListParagraph"/>
        <w:numPr>
          <w:ilvl w:val="0"/>
          <w:numId w:val="2"/>
        </w:numPr>
        <w:spacing w:after="80"/>
      </w:pPr>
      <w:r>
        <w:t xml:space="preserve">Free topline: a quarterly public report on Bangkok mobility, ad engagement norms and category trends. This is the marketing engine and the credibility builder.</w:t>
      </w:r>
    </w:p>
    <w:p>
      <w:pPr>
        <w:pStyle w:val="ListParagraph"/>
        <w:numPr>
          <w:ilvl w:val="0"/>
          <w:numId w:val="2"/>
        </w:numPr>
        <w:spacing w:after="80"/>
      </w:pPr>
      <w:r>
        <w:t xml:space="preserve">Paid cuts sold as subscriptions: by category (auto, beauty, banking, F&amp;B, retail), by ad format, by audience profile, by district and daypart.</w:t>
      </w:r>
    </w:p>
    <w:p>
      <w:pPr>
        <w:pStyle w:val="ListParagraph"/>
        <w:numPr>
          <w:ilvl w:val="0"/>
          <w:numId w:val="2"/>
        </w:numPr>
        <w:spacing w:after="80"/>
      </w:pPr>
      <w:r>
        <w:t xml:space="preserve">Benchmark tables are the hook — a brand cannot know if a 2.1% scan rate is good without the category norm, and we own the norm.</w:t>
      </w:r>
    </w:p>
    <w:p>
      <w:pPr>
        <w:pStyle w:val="ListParagraph"/>
        <w:numPr>
          <w:ilvl w:val="0"/>
          <w:numId w:val="2"/>
        </w:numPr>
        <w:spacing w:after="80"/>
      </w:pPr>
      <w:r>
        <w:t xml:space="preserve">Publication cadence and an annual 'State of Mobility Media' flagship give the sales team a reason to be in front of every CMO once a year.</w:t>
      </w:r>
    </w:p>
    <w:p>
      <w:pPr>
        <w:pStyle w:val="Heading3"/>
      </w:pPr>
      <w:r>
        <w:t xml:space="preserve">6.3 Bespoke insight studies</w:t>
      </w:r>
    </w:p>
    <w:p>
      <w:pPr>
        <w:spacing w:after="160"/>
      </w:pPr>
      <w:r>
        <w:t xml:space="preserve">Pre-campaign: audience sizing, journey mapping, creative testing on-network. Post-campaign: full attribution readout, creative diagnostics, next-flight recommendations. This is the service that makes MotionReach a strategic partner rather than a vendor — and it is the single best predictor of campaign renewal.</w:t>
      </w:r>
    </w:p>
    <w:p>
      <w:pPr>
        <w:pStyle w:val="Heading3"/>
      </w:pPr>
      <w:r>
        <w:t xml:space="preserve">6.4 Audience and licensing</w:t>
      </w:r>
    </w:p>
    <w:p>
      <w:pPr>
        <w:spacing w:after="160"/>
      </w:pPr>
      <w:r>
        <w:t xml:space="preserve">Consented profiles enable programmatic delivery: the passenger's declared interests select the ad loop for their journey. Advertisers pay a CPM premium for targeted, verified, in-journey audiences. Longer term, aggregated mobility and category-demand data has licensing value to retail, property, financial and public-sector buyers who need to understand movement in Thai cities.</w:t>
      </w:r>
    </w:p>
    <w:p>
      <w:pPr>
        <w:pStyle w:val="Heading3"/>
      </w:pPr>
      <w:r>
        <w:t xml:space="preserve">6.5 Commercial targets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tblHeader/>
        </w:trPr>
        <w:tc>
          <w:tcPr>
            <w:tcW w:type="dxa" w:w="2340"/>
            <w:tcBorders>
              <w:top w:val="single" w:color="D9DEE5" w:sz="1"/>
              <w:left w:val="single" w:color="D9DEE5" w:sz="1"/>
              <w:bottom w:val="single" w:color="D9DEE5" w:sz="1"/>
              <w:right w:val="single" w:color="D9DEE5" w:sz="1"/>
            </w:tcBorders>
            <w:shd w:fill="1E2530" w:val="clear"/>
            <w:tcMar>
              <w:top w:type="dxa" w:w="80"/>
              <w:left w:type="dxa" w:w="120"/>
              <w:bottom w:type="dxa" w:w="80"/>
              <w:right w:type="dxa" w:w="120"/>
            </w:tcMar>
          </w:tcPr>
          <w:p>
            <w:r>
              <w:rPr>
                <w:b/>
                <w:bCs/>
                <w:color w:val="FFFFFF"/>
                <w:sz w:val="19"/>
                <w:szCs w:val="19"/>
              </w:rPr>
              <w:t xml:space="preserve">Metric</w:t>
            </w:r>
          </w:p>
        </w:tc>
        <w:tc>
          <w:tcPr>
            <w:tcW w:type="dxa" w:w="2340"/>
            <w:tcBorders>
              <w:top w:val="single" w:color="D9DEE5" w:sz="1"/>
              <w:left w:val="single" w:color="D9DEE5" w:sz="1"/>
              <w:bottom w:val="single" w:color="D9DEE5" w:sz="1"/>
              <w:right w:val="single" w:color="D9DEE5" w:sz="1"/>
            </w:tcBorders>
            <w:shd w:fill="1E2530" w:val="clear"/>
            <w:tcMar>
              <w:top w:type="dxa" w:w="80"/>
              <w:left w:type="dxa" w:w="120"/>
              <w:bottom w:type="dxa" w:w="80"/>
              <w:right w:type="dxa" w:w="120"/>
            </w:tcMar>
          </w:tcPr>
          <w:p>
            <w:r>
              <w:rPr>
                <w:b/>
                <w:bCs/>
                <w:color w:val="FFFFFF"/>
                <w:sz w:val="19"/>
                <w:szCs w:val="19"/>
              </w:rPr>
              <w:t xml:space="preserve">H1</w:t>
            </w:r>
          </w:p>
        </w:tc>
        <w:tc>
          <w:tcPr>
            <w:tcW w:type="dxa" w:w="2340"/>
            <w:tcBorders>
              <w:top w:val="single" w:color="D9DEE5" w:sz="1"/>
              <w:left w:val="single" w:color="D9DEE5" w:sz="1"/>
              <w:bottom w:val="single" w:color="D9DEE5" w:sz="1"/>
              <w:right w:val="single" w:color="D9DEE5" w:sz="1"/>
            </w:tcBorders>
            <w:shd w:fill="1E2530" w:val="clear"/>
            <w:tcMar>
              <w:top w:type="dxa" w:w="80"/>
              <w:left w:type="dxa" w:w="120"/>
              <w:bottom w:type="dxa" w:w="80"/>
              <w:right w:type="dxa" w:w="120"/>
            </w:tcMar>
          </w:tcPr>
          <w:p>
            <w:r>
              <w:rPr>
                <w:b/>
                <w:bCs/>
                <w:color w:val="FFFFFF"/>
                <w:sz w:val="19"/>
                <w:szCs w:val="19"/>
              </w:rPr>
              <w:t xml:space="preserve">H2</w:t>
            </w:r>
          </w:p>
        </w:tc>
        <w:tc>
          <w:tcPr>
            <w:tcW w:type="dxa" w:w="2340"/>
            <w:tcBorders>
              <w:top w:val="single" w:color="D9DEE5" w:sz="1"/>
              <w:left w:val="single" w:color="D9DEE5" w:sz="1"/>
              <w:bottom w:val="single" w:color="D9DEE5" w:sz="1"/>
              <w:right w:val="single" w:color="D9DEE5" w:sz="1"/>
            </w:tcBorders>
            <w:shd w:fill="1E2530" w:val="clear"/>
            <w:tcMar>
              <w:top w:type="dxa" w:w="80"/>
              <w:left w:type="dxa" w:w="120"/>
              <w:bottom w:type="dxa" w:w="80"/>
              <w:right w:type="dxa" w:w="120"/>
            </w:tcMar>
          </w:tcPr>
          <w:p>
            <w:r>
              <w:rPr>
                <w:b/>
                <w:bCs/>
                <w:color w:val="FFFFFF"/>
                <w:sz w:val="19"/>
                <w:szCs w:val="19"/>
              </w:rPr>
              <w:t xml:space="preserve">H3</w:t>
            </w:r>
          </w:p>
        </w:tc>
      </w:tr>
      <w:tr>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Measurement attach rate on media revenue</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20%</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55%</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80%</w:t>
            </w:r>
          </w:p>
        </w:tc>
      </w:tr>
      <w:tr>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Data Services revenue as % of group</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2%</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8%</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15%</w:t>
            </w:r>
          </w:p>
        </w:tc>
      </w:tr>
      <w:tr>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Syndicated subscribers</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0</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12</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40</w:t>
            </w:r>
          </w:p>
        </w:tc>
      </w:tr>
      <w:tr>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Bespoke studies per quarter</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1</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5</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12</w:t>
            </w:r>
          </w:p>
        </w:tc>
      </w:tr>
      <w:tr>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Data Services gross margin</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60%</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70%</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75%</w:t>
            </w:r>
          </w:p>
        </w:tc>
      </w:tr>
    </w:tbl>
    <w:p>
      <w:pPr>
        <w:spacing w:after="200"/>
      </w:pPr>
    </w:p>
    <w:p>
      <w:r>
        <w:br w:type="page"/>
      </w:r>
    </w:p>
    <w:p>
      <w:pPr>
        <w:spacing w:after="40"/>
      </w:pPr>
      <w:r>
        <w:rPr>
          <w:b/>
          <w:bCs/>
          <w:color w:val="8A5F14"/>
          <w:sz w:val="18"/>
          <w:szCs w:val="18"/>
        </w:rPr>
        <w:t xml:space="preserve">07 · THREE HORIZONS, MAPPED TO 500 → 10,000 SCREENS</w:t>
      </w:r>
    </w:p>
    <w:p>
      <w:pPr>
        <w:pStyle w:val="Heading1"/>
      </w:pPr>
      <w:r>
        <w:t xml:space="preserve">Product Development Plan</w:t>
      </w:r>
    </w:p>
    <w:p>
      <w:pPr>
        <w:pStyle w:val="Heading3"/>
      </w:pPr>
      <w:r>
        <w:t xml:space="preserve">H1 · Months 0–6 — Instrument the network</w:t>
      </w:r>
    </w:p>
    <w:p>
      <w:pPr>
        <w:pStyle w:val="ListParagraph"/>
        <w:numPr>
          <w:ilvl w:val="0"/>
          <w:numId w:val="2"/>
        </w:numPr>
        <w:spacing w:after="80"/>
      </w:pPr>
      <w:r>
        <w:t xml:space="preserve">Ship the consent and profile module on the touchscreen (T0–T2), in Thai and English.</w:t>
      </w:r>
    </w:p>
    <w:p>
      <w:pPr>
        <w:pStyle w:val="ListParagraph"/>
        <w:numPr>
          <w:ilvl w:val="0"/>
          <w:numId w:val="2"/>
        </w:numPr>
        <w:spacing w:after="80"/>
      </w:pPr>
      <w:r>
        <w:t xml:space="preserve">Log a GPS fix, heading and speed with every play; define trip origin/destination zones.</w:t>
      </w:r>
    </w:p>
    <w:p>
      <w:pPr>
        <w:pStyle w:val="ListParagraph"/>
        <w:numPr>
          <w:ilvl w:val="0"/>
          <w:numId w:val="2"/>
        </w:numPr>
        <w:spacing w:after="80"/>
      </w:pPr>
      <w:r>
        <w:t xml:space="preserve">Deploy unique per-play QR tokens and the redirect and scan-capture service.</w:t>
      </w:r>
    </w:p>
    <w:p>
      <w:pPr>
        <w:pStyle w:val="ListParagraph"/>
        <w:numPr>
          <w:ilvl w:val="0"/>
          <w:numId w:val="2"/>
        </w:numPr>
        <w:spacing w:after="80"/>
      </w:pPr>
      <w:r>
        <w:t xml:space="preserve">Stand up the data warehouse, the event schema, and the internal network dashboard v1.</w:t>
      </w:r>
    </w:p>
    <w:p>
      <w:pPr>
        <w:pStyle w:val="ListParagraph"/>
        <w:numPr>
          <w:ilvl w:val="0"/>
          <w:numId w:val="2"/>
        </w:numPr>
        <w:spacing w:after="80"/>
      </w:pPr>
      <w:r>
        <w:t xml:space="preserve">Run three paid attribution pilots with existing clients who can supply conversion data.</w:t>
      </w:r>
    </w:p>
    <w:p>
      <w:pPr>
        <w:pStyle w:val="ListParagraph"/>
        <w:numPr>
          <w:ilvl w:val="0"/>
          <w:numId w:val="2"/>
        </w:numPr>
        <w:spacing w:after="80"/>
      </w:pPr>
      <w:r>
        <w:t xml:space="preserve">Publish the PDPA framework, consent register and privacy portal.</w:t>
      </w:r>
    </w:p>
    <w:p>
      <w:pPr>
        <w:spacing w:after="160"/>
      </w:pPr>
      <w:r>
        <w:t xml:space="preserve">Exit criteria: 95% of plays carry a valid geo fix; T1 opt-in above 20%; three pilots delivered with a signed-off lift number; zero privacy incidents.</w:t>
      </w:r>
    </w:p>
    <w:p>
      <w:pPr>
        <w:pStyle w:val="Heading3"/>
      </w:pPr>
      <w:r>
        <w:t xml:space="preserve">H2 · Months 6–18 — Reach critical mass and productise</w:t>
      </w:r>
    </w:p>
    <w:p>
      <w:pPr>
        <w:pStyle w:val="ListParagraph"/>
        <w:numPr>
          <w:ilvl w:val="0"/>
          <w:numId w:val="2"/>
        </w:numPr>
        <w:spacing w:after="80"/>
      </w:pPr>
      <w:r>
        <w:t xml:space="preserve">Add T3 loyalty linking and the rewards ledger.</w:t>
      </w:r>
    </w:p>
    <w:p>
      <w:pPr>
        <w:pStyle w:val="ListParagraph"/>
        <w:numPr>
          <w:ilvl w:val="0"/>
          <w:numId w:val="2"/>
        </w:numPr>
        <w:spacing w:after="80"/>
      </w:pPr>
      <w:r>
        <w:t xml:space="preserve">Build the weighting engine and the Bangkok population frame; validate projectability.</w:t>
      </w:r>
    </w:p>
    <w:p>
      <w:pPr>
        <w:pStyle w:val="ListParagraph"/>
        <w:numPr>
          <w:ilvl w:val="0"/>
          <w:numId w:val="2"/>
        </w:numPr>
        <w:spacing w:after="80"/>
      </w:pPr>
      <w:r>
        <w:t xml:space="preserve">Launch the client-facing self-serve dashboard with MRCI scoring.</w:t>
      </w:r>
    </w:p>
    <w:p>
      <w:pPr>
        <w:pStyle w:val="ListParagraph"/>
        <w:numPr>
          <w:ilvl w:val="0"/>
          <w:numId w:val="2"/>
        </w:numPr>
        <w:spacing w:after="80"/>
      </w:pPr>
      <w:r>
        <w:t xml:space="preserve">Launch Mobility Pulse syndicated reports and the subscription product.</w:t>
      </w:r>
    </w:p>
    <w:p>
      <w:pPr>
        <w:pStyle w:val="ListParagraph"/>
        <w:numPr>
          <w:ilvl w:val="0"/>
          <w:numId w:val="2"/>
        </w:numPr>
        <w:spacing w:after="80"/>
      </w:pPr>
      <w:r>
        <w:t xml:space="preserve">Ship programmatic audience segments into the ad server.</w:t>
      </w:r>
    </w:p>
    <w:p>
      <w:pPr>
        <w:pStyle w:val="ListParagraph"/>
        <w:numPr>
          <w:ilvl w:val="0"/>
          <w:numId w:val="2"/>
        </w:numPr>
        <w:spacing w:after="80"/>
      </w:pPr>
      <w:r>
        <w:t xml:space="preserve">Automate holdout design and lift reporting so measurement scales without analyst hours.</w:t>
      </w:r>
    </w:p>
    <w:p>
      <w:pPr>
        <w:spacing w:after="160"/>
      </w:pPr>
      <w:r>
        <w:t xml:space="preserve">Exit criteria: 100k+ profiled rides per month; publishable district-level cuts; 12 syndicated subscribers; measurement attached to over half of media revenue.</w:t>
      </w:r>
    </w:p>
    <w:p>
      <w:pPr>
        <w:pStyle w:val="Heading3"/>
      </w:pPr>
      <w:r>
        <w:t xml:space="preserve">H3 · Months 18–24+ — Own the currency</w:t>
      </w:r>
    </w:p>
    <w:p>
      <w:pPr>
        <w:pStyle w:val="ListParagraph"/>
        <w:numPr>
          <w:ilvl w:val="0"/>
          <w:numId w:val="2"/>
        </w:numPr>
        <w:spacing w:after="80"/>
      </w:pPr>
      <w:r>
        <w:t xml:space="preserve">Independent methodological validation and published back-testing of MRCI.</w:t>
      </w:r>
    </w:p>
    <w:p>
      <w:pPr>
        <w:pStyle w:val="ListParagraph"/>
        <w:numPr>
          <w:ilvl w:val="0"/>
          <w:numId w:val="2"/>
        </w:numPr>
        <w:spacing w:after="80"/>
      </w:pPr>
      <w:r>
        <w:t xml:space="preserve">Agency adoption programme: get MRCI written into media plans and post-campaign templates.</w:t>
      </w:r>
    </w:p>
    <w:p>
      <w:pPr>
        <w:pStyle w:val="ListParagraph"/>
        <w:numPr>
          <w:ilvl w:val="0"/>
          <w:numId w:val="2"/>
        </w:numPr>
        <w:spacing w:after="80"/>
      </w:pPr>
      <w:r>
        <w:t xml:space="preserve">Data licensing product and API for approved partners.</w:t>
      </w:r>
    </w:p>
    <w:p>
      <w:pPr>
        <w:pStyle w:val="ListParagraph"/>
        <w:numPr>
          <w:ilvl w:val="0"/>
          <w:numId w:val="2"/>
        </w:numPr>
        <w:spacing w:after="80"/>
      </w:pPr>
      <w:r>
        <w:t xml:space="preserve">Replicate the capture spec into new SEA markets as the fleet expands.</w:t>
      </w:r>
    </w:p>
    <w:p>
      <w:pPr>
        <w:pStyle w:val="Heading3"/>
      </w:pPr>
      <w:r>
        <w:t xml:space="preserve">Dependencies and sequencing risks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tblHeader/>
        </w:trPr>
        <w:tc>
          <w:tcPr>
            <w:tcW w:type="dxa" w:w="2340"/>
            <w:tcBorders>
              <w:top w:val="single" w:color="D9DEE5" w:sz="1"/>
              <w:left w:val="single" w:color="D9DEE5" w:sz="1"/>
              <w:bottom w:val="single" w:color="D9DEE5" w:sz="1"/>
              <w:right w:val="single" w:color="D9DEE5" w:sz="1"/>
            </w:tcBorders>
            <w:shd w:fill="1E2530" w:val="clear"/>
            <w:tcMar>
              <w:top w:type="dxa" w:w="80"/>
              <w:left w:type="dxa" w:w="120"/>
              <w:bottom w:type="dxa" w:w="80"/>
              <w:right w:type="dxa" w:w="120"/>
            </w:tcMar>
          </w:tcPr>
          <w:p>
            <w:r>
              <w:rPr>
                <w:b/>
                <w:bCs/>
                <w:color w:val="FFFFFF"/>
                <w:sz w:val="19"/>
                <w:szCs w:val="19"/>
              </w:rPr>
              <w:t xml:space="preserve">Dependency</w:t>
            </w:r>
          </w:p>
        </w:tc>
        <w:tc>
          <w:tcPr>
            <w:tcW w:type="dxa" w:w="2340"/>
            <w:tcBorders>
              <w:top w:val="single" w:color="D9DEE5" w:sz="1"/>
              <w:left w:val="single" w:color="D9DEE5" w:sz="1"/>
              <w:bottom w:val="single" w:color="D9DEE5" w:sz="1"/>
              <w:right w:val="single" w:color="D9DEE5" w:sz="1"/>
            </w:tcBorders>
            <w:shd w:fill="1E2530" w:val="clear"/>
            <w:tcMar>
              <w:top w:type="dxa" w:w="80"/>
              <w:left w:type="dxa" w:w="120"/>
              <w:bottom w:type="dxa" w:w="80"/>
              <w:right w:type="dxa" w:w="120"/>
            </w:tcMar>
          </w:tcPr>
          <w:p>
            <w:r>
              <w:rPr>
                <w:b/>
                <w:bCs/>
                <w:color w:val="FFFFFF"/>
                <w:sz w:val="19"/>
                <w:szCs w:val="19"/>
              </w:rPr>
              <w:t xml:space="preserve">Blocks</w:t>
            </w:r>
          </w:p>
        </w:tc>
        <w:tc>
          <w:tcPr>
            <w:tcW w:type="dxa" w:w="2340"/>
            <w:tcBorders>
              <w:top w:val="single" w:color="D9DEE5" w:sz="1"/>
              <w:left w:val="single" w:color="D9DEE5" w:sz="1"/>
              <w:bottom w:val="single" w:color="D9DEE5" w:sz="1"/>
              <w:right w:val="single" w:color="D9DEE5" w:sz="1"/>
            </w:tcBorders>
            <w:shd w:fill="1E2530" w:val="clear"/>
            <w:tcMar>
              <w:top w:type="dxa" w:w="80"/>
              <w:left w:type="dxa" w:w="120"/>
              <w:bottom w:type="dxa" w:w="80"/>
              <w:right w:type="dxa" w:w="120"/>
            </w:tcMar>
          </w:tcPr>
          <w:p>
            <w:r>
              <w:rPr>
                <w:b/>
                <w:bCs/>
                <w:color w:val="FFFFFF"/>
                <w:sz w:val="19"/>
                <w:szCs w:val="19"/>
              </w:rPr>
              <w:t xml:space="preserve">Owner</w:t>
            </w:r>
          </w:p>
        </w:tc>
        <w:tc>
          <w:tcPr>
            <w:tcW w:type="dxa" w:w="2340"/>
            <w:tcBorders>
              <w:top w:val="single" w:color="D9DEE5" w:sz="1"/>
              <w:left w:val="single" w:color="D9DEE5" w:sz="1"/>
              <w:bottom w:val="single" w:color="D9DEE5" w:sz="1"/>
              <w:right w:val="single" w:color="D9DEE5" w:sz="1"/>
            </w:tcBorders>
            <w:shd w:fill="1E2530" w:val="clear"/>
            <w:tcMar>
              <w:top w:type="dxa" w:w="80"/>
              <w:left w:type="dxa" w:w="120"/>
              <w:bottom w:type="dxa" w:w="80"/>
              <w:right w:type="dxa" w:w="120"/>
            </w:tcMar>
          </w:tcPr>
          <w:p>
            <w:r>
              <w:rPr>
                <w:b/>
                <w:bCs/>
                <w:color w:val="FFFFFF"/>
                <w:sz w:val="19"/>
                <w:szCs w:val="19"/>
              </w:rPr>
              <w:t xml:space="preserve">Mitigation</w:t>
            </w:r>
          </w:p>
        </w:tc>
      </w:tr>
      <w:tr>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Touchscreen firmware capability</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All passenger capture</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Engineering + hardware vendor</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Lock spec before fleet expansion order</w:t>
            </w:r>
          </w:p>
        </w:tc>
      </w:tr>
      <w:tr>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Fleet/driver agreements for GPS</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Mobility layer</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Operations</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Bundle into new co-op contracts now</w:t>
            </w:r>
          </w:p>
        </w:tc>
      </w:tr>
      <w:tr>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Client conversion feeds</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Outcome layer, all attribution</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Commercial</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Pilot with 3 friendly accounts, standardise the tag</w:t>
            </w:r>
          </w:p>
        </w:tc>
      </w:tr>
      <w:tr>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Data engineering hire</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Warehouse, dashboards</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CTO</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First hire from the round; contract cover meanwhile</w:t>
            </w:r>
          </w:p>
        </w:tc>
      </w:tr>
      <w:tr>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Panel weighting expertise</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Projectable syndicated data</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Data science</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Consultant methodologist in H1, hire in H2</w:t>
            </w:r>
          </w:p>
        </w:tc>
      </w:tr>
    </w:tbl>
    <w:p>
      <w:pPr>
        <w:spacing w:after="200"/>
      </w:pPr>
    </w:p>
    <w:p>
      <w:r>
        <w:br w:type="page"/>
      </w:r>
    </w:p>
    <w:p>
      <w:pPr>
        <w:spacing w:after="40"/>
      </w:pPr>
      <w:r>
        <w:rPr>
          <w:b/>
          <w:bCs/>
          <w:color w:val="8A5F14"/>
          <w:sz w:val="18"/>
          <w:szCs w:val="18"/>
        </w:rPr>
        <w:t xml:space="preserve">08 · WHAT WE ARE ALLOWED TO PUBLISH</w:t>
      </w:r>
    </w:p>
    <w:p>
      <w:pPr>
        <w:pStyle w:val="Heading1"/>
      </w:pPr>
      <w:r>
        <w:t xml:space="preserve">Critical Mass &amp; Data Quality</w:t>
      </w:r>
    </w:p>
    <w:p>
      <w:pPr>
        <w:spacing w:after="160"/>
      </w:pPr>
      <w:r>
        <w:t xml:space="preserve">The fastest way to destroy a data business is to publish a confident number from thirty responses. These thresholds are a hard product rule enforced in the dashboard, not a guideline.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tblHeader/>
        </w:trPr>
        <w:tc>
          <w:tcPr>
            <w:tcW w:type="dxa" w:w="2340"/>
            <w:tcBorders>
              <w:top w:val="single" w:color="D9DEE5" w:sz="1"/>
              <w:left w:val="single" w:color="D9DEE5" w:sz="1"/>
              <w:bottom w:val="single" w:color="D9DEE5" w:sz="1"/>
              <w:right w:val="single" w:color="D9DEE5" w:sz="1"/>
            </w:tcBorders>
            <w:shd w:fill="1E2530" w:val="clear"/>
            <w:tcMar>
              <w:top w:type="dxa" w:w="80"/>
              <w:left w:type="dxa" w:w="120"/>
              <w:bottom w:type="dxa" w:w="80"/>
              <w:right w:type="dxa" w:w="120"/>
            </w:tcMar>
          </w:tcPr>
          <w:p>
            <w:r>
              <w:rPr>
                <w:b/>
                <w:bCs/>
                <w:color w:val="FFFFFF"/>
                <w:sz w:val="19"/>
                <w:szCs w:val="19"/>
              </w:rPr>
              <w:t xml:space="preserve">Cut</w:t>
            </w:r>
          </w:p>
        </w:tc>
        <w:tc>
          <w:tcPr>
            <w:tcW w:type="dxa" w:w="2340"/>
            <w:tcBorders>
              <w:top w:val="single" w:color="D9DEE5" w:sz="1"/>
              <w:left w:val="single" w:color="D9DEE5" w:sz="1"/>
              <w:bottom w:val="single" w:color="D9DEE5" w:sz="1"/>
              <w:right w:val="single" w:color="D9DEE5" w:sz="1"/>
            </w:tcBorders>
            <w:shd w:fill="1E2530" w:val="clear"/>
            <w:tcMar>
              <w:top w:type="dxa" w:w="80"/>
              <w:left w:type="dxa" w:w="120"/>
              <w:bottom w:type="dxa" w:w="80"/>
              <w:right w:type="dxa" w:w="120"/>
            </w:tcMar>
          </w:tcPr>
          <w:p>
            <w:r>
              <w:rPr>
                <w:b/>
                <w:bCs/>
                <w:color w:val="FFFFFF"/>
                <w:sz w:val="19"/>
                <w:szCs w:val="19"/>
              </w:rPr>
              <w:t xml:space="preserve">Minimum profiled responses</w:t>
            </w:r>
          </w:p>
        </w:tc>
        <w:tc>
          <w:tcPr>
            <w:tcW w:type="dxa" w:w="2340"/>
            <w:tcBorders>
              <w:top w:val="single" w:color="D9DEE5" w:sz="1"/>
              <w:left w:val="single" w:color="D9DEE5" w:sz="1"/>
              <w:bottom w:val="single" w:color="D9DEE5" w:sz="1"/>
              <w:right w:val="single" w:color="D9DEE5" w:sz="1"/>
            </w:tcBorders>
            <w:shd w:fill="1E2530" w:val="clear"/>
            <w:tcMar>
              <w:top w:type="dxa" w:w="80"/>
              <w:left w:type="dxa" w:w="120"/>
              <w:bottom w:type="dxa" w:w="80"/>
              <w:right w:type="dxa" w:w="120"/>
            </w:tcMar>
          </w:tcPr>
          <w:p>
            <w:r>
              <w:rPr>
                <w:b/>
                <w:bCs/>
                <w:color w:val="FFFFFF"/>
                <w:sz w:val="19"/>
                <w:szCs w:val="19"/>
              </w:rPr>
              <w:t xml:space="preserve">Minimum screens</w:t>
            </w:r>
          </w:p>
        </w:tc>
        <w:tc>
          <w:tcPr>
            <w:tcW w:type="dxa" w:w="2340"/>
            <w:tcBorders>
              <w:top w:val="single" w:color="D9DEE5" w:sz="1"/>
              <w:left w:val="single" w:color="D9DEE5" w:sz="1"/>
              <w:bottom w:val="single" w:color="D9DEE5" w:sz="1"/>
              <w:right w:val="single" w:color="D9DEE5" w:sz="1"/>
            </w:tcBorders>
            <w:shd w:fill="1E2530" w:val="clear"/>
            <w:tcMar>
              <w:top w:type="dxa" w:w="80"/>
              <w:left w:type="dxa" w:w="120"/>
              <w:bottom w:type="dxa" w:w="80"/>
              <w:right w:type="dxa" w:w="120"/>
            </w:tcMar>
          </w:tcPr>
          <w:p>
            <w:r>
              <w:rPr>
                <w:b/>
                <w:bCs/>
                <w:color w:val="FFFFFF"/>
                <w:sz w:val="19"/>
                <w:szCs w:val="19"/>
              </w:rPr>
              <w:t xml:space="preserve">Publication status</w:t>
            </w:r>
          </w:p>
        </w:tc>
      </w:tr>
      <w:tr>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National topline</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1,000 / period</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150</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Publishable</w:t>
            </w:r>
          </w:p>
        </w:tc>
      </w:tr>
      <w:tr>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Category or ad-format cut</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500</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100</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Publishable</w:t>
            </w:r>
          </w:p>
        </w:tc>
      </w:tr>
      <w:tr>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District cut</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300</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25 in district</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Publishable</w:t>
            </w:r>
          </w:p>
        </w:tc>
      </w:tr>
      <w:tr>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Daypart × district</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150</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25</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Indicative only</w:t>
            </w:r>
          </w:p>
        </w:tc>
      </w:tr>
      <w:tr>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Profile segment (e.g. 25–34 female)</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200</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Publishable</w:t>
            </w:r>
          </w:p>
        </w:tc>
      </w:tr>
      <w:tr>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Any cut below threshold</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w:t>
            </w:r>
          </w:p>
        </w:tc>
        <w:tc>
          <w:tcPr>
            <w:tcW w:type="dxa" w:w="234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Suppressed</w:t>
            </w:r>
          </w:p>
        </w:tc>
      </w:tr>
    </w:tbl>
    <w:p>
      <w:pPr>
        <w:spacing w:after="200"/>
      </w:pPr>
    </w:p>
    <w:p>
      <w:pPr>
        <w:pStyle w:val="Heading3"/>
      </w:pPr>
      <w:r>
        <w:t xml:space="preserve">Quality controls</w:t>
      </w:r>
    </w:p>
    <w:p>
      <w:pPr>
        <w:pStyle w:val="ListParagraph"/>
        <w:numPr>
          <w:ilvl w:val="0"/>
          <w:numId w:val="2"/>
        </w:numPr>
        <w:spacing w:after="80"/>
      </w:pPr>
      <w:r>
        <w:t xml:space="preserve">Response validity scoring on every survey completion; invalid responses excluded before weighting.</w:t>
      </w:r>
    </w:p>
    <w:p>
      <w:pPr>
        <w:pStyle w:val="ListParagraph"/>
        <w:numPr>
          <w:ilvl w:val="0"/>
          <w:numId w:val="2"/>
        </w:numPr>
        <w:spacing w:after="80"/>
      </w:pPr>
      <w:r>
        <w:t xml:space="preserve">Device and session de-duplication to stop one passenger inflating a cut.</w:t>
      </w:r>
    </w:p>
    <w:p>
      <w:pPr>
        <w:pStyle w:val="ListParagraph"/>
        <w:numPr>
          <w:ilvl w:val="0"/>
          <w:numId w:val="2"/>
        </w:numPr>
        <w:spacing w:after="80"/>
      </w:pPr>
      <w:r>
        <w:t xml:space="preserve">Screen health monitoring: plays from screens with GPS or uptime faults are excluded from measurement, not just flagged.</w:t>
      </w:r>
    </w:p>
    <w:p>
      <w:pPr>
        <w:pStyle w:val="ListParagraph"/>
        <w:numPr>
          <w:ilvl w:val="0"/>
          <w:numId w:val="2"/>
        </w:numPr>
        <w:spacing w:after="80"/>
      </w:pPr>
      <w:r>
        <w:t xml:space="preserve">Quarterly calibration against an external population survey to detect drift.</w:t>
      </w:r>
    </w:p>
    <w:p>
      <w:pPr>
        <w:pStyle w:val="ListParagraph"/>
        <w:numPr>
          <w:ilvl w:val="0"/>
          <w:numId w:val="2"/>
        </w:numPr>
        <w:spacing w:after="80"/>
      </w:pPr>
      <w:r>
        <w:t xml:space="preserve">Every published figure carries a sample size and confidence interval in the UI and the export.</w:t>
      </w:r>
    </w:p>
    <w:p>
      <w:r>
        <w:br w:type="page"/>
      </w:r>
    </w:p>
    <w:p>
      <w:pPr>
        <w:spacing w:after="40"/>
      </w:pPr>
      <w:r>
        <w:rPr>
          <w:b/>
          <w:bCs/>
          <w:color w:val="8A5F14"/>
          <w:sz w:val="18"/>
          <w:szCs w:val="18"/>
        </w:rPr>
        <w:t xml:space="preserve">09 · WHO BUILDS AND RUNS IT</w:t>
      </w:r>
    </w:p>
    <w:p>
      <w:pPr>
        <w:pStyle w:val="Heading1"/>
      </w:pPr>
      <w:r>
        <w:t xml:space="preserve">Org, Roles &amp; Operating Model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tcBorders>
              <w:top w:val="single" w:color="D9DEE5" w:sz="1"/>
              <w:left w:val="single" w:color="D9DEE5" w:sz="1"/>
              <w:bottom w:val="single" w:color="D9DEE5" w:sz="1"/>
              <w:right w:val="single" w:color="D9DEE5" w:sz="1"/>
            </w:tcBorders>
            <w:shd w:fill="1E2530" w:val="clear"/>
            <w:tcMar>
              <w:top w:type="dxa" w:w="80"/>
              <w:left w:type="dxa" w:w="120"/>
              <w:bottom w:type="dxa" w:w="80"/>
              <w:right w:type="dxa" w:w="120"/>
            </w:tcMar>
          </w:tcPr>
          <w:p>
            <w:r>
              <w:rPr>
                <w:b/>
                <w:bCs/>
                <w:color w:val="FFFFFF"/>
                <w:sz w:val="19"/>
                <w:szCs w:val="19"/>
              </w:rPr>
              <w:t xml:space="preserve">Role</w:t>
            </w:r>
          </w:p>
        </w:tc>
        <w:tc>
          <w:tcPr>
            <w:tcW w:type="dxa" w:w="3120"/>
            <w:tcBorders>
              <w:top w:val="single" w:color="D9DEE5" w:sz="1"/>
              <w:left w:val="single" w:color="D9DEE5" w:sz="1"/>
              <w:bottom w:val="single" w:color="D9DEE5" w:sz="1"/>
              <w:right w:val="single" w:color="D9DEE5" w:sz="1"/>
            </w:tcBorders>
            <w:shd w:fill="1E2530" w:val="clear"/>
            <w:tcMar>
              <w:top w:type="dxa" w:w="80"/>
              <w:left w:type="dxa" w:w="120"/>
              <w:bottom w:type="dxa" w:w="80"/>
              <w:right w:type="dxa" w:w="120"/>
            </w:tcMar>
          </w:tcPr>
          <w:p>
            <w:r>
              <w:rPr>
                <w:b/>
                <w:bCs/>
                <w:color w:val="FFFFFF"/>
                <w:sz w:val="19"/>
                <w:szCs w:val="19"/>
              </w:rPr>
              <w:t xml:space="preserve">Hire by</w:t>
            </w:r>
          </w:p>
        </w:tc>
        <w:tc>
          <w:tcPr>
            <w:tcW w:type="dxa" w:w="3120"/>
            <w:tcBorders>
              <w:top w:val="single" w:color="D9DEE5" w:sz="1"/>
              <w:left w:val="single" w:color="D9DEE5" w:sz="1"/>
              <w:bottom w:val="single" w:color="D9DEE5" w:sz="1"/>
              <w:right w:val="single" w:color="D9DEE5" w:sz="1"/>
            </w:tcBorders>
            <w:shd w:fill="1E2530" w:val="clear"/>
            <w:tcMar>
              <w:top w:type="dxa" w:w="80"/>
              <w:left w:type="dxa" w:w="120"/>
              <w:bottom w:type="dxa" w:w="80"/>
              <w:right w:type="dxa" w:w="120"/>
            </w:tcMar>
          </w:tcPr>
          <w:p>
            <w:r>
              <w:rPr>
                <w:b/>
                <w:bCs/>
                <w:color w:val="FFFFFF"/>
                <w:sz w:val="19"/>
                <w:szCs w:val="19"/>
              </w:rPr>
              <w:t xml:space="preserve">Owns</w:t>
            </w:r>
          </w:p>
        </w:tc>
      </w:tr>
      <w:tr>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Head of Data Services</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Month 1</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P&amp;L, roadmap, methodology sign-off</w:t>
            </w:r>
          </w:p>
        </w:tc>
      </w:tr>
      <w:tr>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Data Engineer (x2 by H2)</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Month 1</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Pipeline, warehouse, event schema, QR service</w:t>
            </w:r>
          </w:p>
        </w:tc>
      </w:tr>
      <w:tr>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Product Manager — Capture</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Month 2</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Consent UX, survey engine, rewards</w:t>
            </w:r>
          </w:p>
        </w:tc>
      </w:tr>
      <w:tr>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Data Scientist / Methodologist</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Month 4</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Weighting, lift design, MRCI validation</w:t>
            </w:r>
          </w:p>
        </w:tc>
      </w:tr>
      <w:tr>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Insight Consultant</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Month 6</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Bespoke studies, syndicated reports, client storytelling</w:t>
            </w:r>
          </w:p>
        </w:tc>
      </w:tr>
      <w:tr>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Commercial Lead — Data</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Month 6</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Attach rate, subscriptions, licensing deals</w:t>
            </w:r>
          </w:p>
        </w:tc>
      </w:tr>
      <w:tr>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DPO (part-time to start)</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Month 2</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PDPA compliance, consent register, audits</w:t>
            </w:r>
          </w:p>
        </w:tc>
      </w:tr>
    </w:tbl>
    <w:p>
      <w:pPr>
        <w:spacing w:after="200"/>
      </w:pPr>
    </w:p>
    <w:p>
      <w:pPr>
        <w:pStyle w:val="Heading3"/>
      </w:pPr>
      <w:r>
        <w:t xml:space="preserve">Operating model</w:t>
      </w:r>
    </w:p>
    <w:p>
      <w:pPr>
        <w:pStyle w:val="ListParagraph"/>
        <w:numPr>
          <w:ilvl w:val="0"/>
          <w:numId w:val="2"/>
        </w:numPr>
        <w:spacing w:after="80"/>
      </w:pPr>
      <w:r>
        <w:t xml:space="preserve">Data Services is a separate P&amp;L reporting to the CEO, not a cost centre inside media.</w:t>
      </w:r>
    </w:p>
    <w:p>
      <w:pPr>
        <w:pStyle w:val="ListParagraph"/>
        <w:numPr>
          <w:ilvl w:val="0"/>
          <w:numId w:val="2"/>
        </w:numPr>
        <w:spacing w:after="80"/>
      </w:pPr>
      <w:r>
        <w:t xml:space="preserve">Media sells the measurement attach; Data Services delivers it and books the revenue.</w:t>
      </w:r>
    </w:p>
    <w:p>
      <w:pPr>
        <w:pStyle w:val="ListParagraph"/>
        <w:numPr>
          <w:ilvl w:val="0"/>
          <w:numId w:val="2"/>
        </w:numPr>
        <w:spacing w:after="80"/>
      </w:pPr>
      <w:r>
        <w:t xml:space="preserve">A monthly Data Council — CEO, CTO, Head of Data, COO — signs off on methodology changes and any new published metric.</w:t>
      </w:r>
    </w:p>
    <w:p>
      <w:pPr>
        <w:pStyle w:val="ListParagraph"/>
        <w:numPr>
          <w:ilvl w:val="0"/>
          <w:numId w:val="2"/>
        </w:numPr>
        <w:spacing w:after="80"/>
      </w:pPr>
      <w:r>
        <w:t xml:space="preserve">Every campaign has a named analyst; no automated report leaves the building unreviewed in H1.</w:t>
      </w:r>
    </w:p>
    <w:p>
      <w:r>
        <w:br w:type="page"/>
      </w:r>
    </w:p>
    <w:p>
      <w:pPr>
        <w:spacing w:after="40"/>
      </w:pPr>
      <w:r>
        <w:rPr>
          <w:b/>
          <w:bCs/>
          <w:color w:val="8A5F14"/>
          <w:sz w:val="18"/>
          <w:szCs w:val="18"/>
        </w:rPr>
        <w:t xml:space="preserve">10 · WHAT COULD STOP THIS</w:t>
      </w:r>
    </w:p>
    <w:p>
      <w:pPr>
        <w:pStyle w:val="Heading1"/>
      </w:pPr>
      <w:r>
        <w:t xml:space="preserve">Risks &amp; Mitigations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tcBorders>
              <w:top w:val="single" w:color="D9DEE5" w:sz="1"/>
              <w:left w:val="single" w:color="D9DEE5" w:sz="1"/>
              <w:bottom w:val="single" w:color="D9DEE5" w:sz="1"/>
              <w:right w:val="single" w:color="D9DEE5" w:sz="1"/>
            </w:tcBorders>
            <w:shd w:fill="1E2530" w:val="clear"/>
            <w:tcMar>
              <w:top w:type="dxa" w:w="80"/>
              <w:left w:type="dxa" w:w="120"/>
              <w:bottom w:type="dxa" w:w="80"/>
              <w:right w:type="dxa" w:w="120"/>
            </w:tcMar>
          </w:tcPr>
          <w:p>
            <w:r>
              <w:rPr>
                <w:b/>
                <w:bCs/>
                <w:color w:val="FFFFFF"/>
                <w:sz w:val="19"/>
                <w:szCs w:val="19"/>
              </w:rPr>
              <w:t xml:space="preserve">Risk</w:t>
            </w:r>
          </w:p>
        </w:tc>
        <w:tc>
          <w:tcPr>
            <w:tcW w:type="dxa" w:w="3120"/>
            <w:tcBorders>
              <w:top w:val="single" w:color="D9DEE5" w:sz="1"/>
              <w:left w:val="single" w:color="D9DEE5" w:sz="1"/>
              <w:bottom w:val="single" w:color="D9DEE5" w:sz="1"/>
              <w:right w:val="single" w:color="D9DEE5" w:sz="1"/>
            </w:tcBorders>
            <w:shd w:fill="1E2530" w:val="clear"/>
            <w:tcMar>
              <w:top w:type="dxa" w:w="80"/>
              <w:left w:type="dxa" w:w="120"/>
              <w:bottom w:type="dxa" w:w="80"/>
              <w:right w:type="dxa" w:w="120"/>
            </w:tcMar>
          </w:tcPr>
          <w:p>
            <w:r>
              <w:rPr>
                <w:b/>
                <w:bCs/>
                <w:color w:val="FFFFFF"/>
                <w:sz w:val="19"/>
                <w:szCs w:val="19"/>
              </w:rPr>
              <w:t xml:space="preserve">Impact</w:t>
            </w:r>
          </w:p>
        </w:tc>
        <w:tc>
          <w:tcPr>
            <w:tcW w:type="dxa" w:w="3120"/>
            <w:tcBorders>
              <w:top w:val="single" w:color="D9DEE5" w:sz="1"/>
              <w:left w:val="single" w:color="D9DEE5" w:sz="1"/>
              <w:bottom w:val="single" w:color="D9DEE5" w:sz="1"/>
              <w:right w:val="single" w:color="D9DEE5" w:sz="1"/>
            </w:tcBorders>
            <w:shd w:fill="1E2530" w:val="clear"/>
            <w:tcMar>
              <w:top w:type="dxa" w:w="80"/>
              <w:left w:type="dxa" w:w="120"/>
              <w:bottom w:type="dxa" w:w="80"/>
              <w:right w:type="dxa" w:w="120"/>
            </w:tcMar>
          </w:tcPr>
          <w:p>
            <w:r>
              <w:rPr>
                <w:b/>
                <w:bCs/>
                <w:color w:val="FFFFFF"/>
                <w:sz w:val="19"/>
                <w:szCs w:val="19"/>
              </w:rPr>
              <w:t xml:space="preserve">Mitigation</w:t>
            </w:r>
          </w:p>
        </w:tc>
      </w:tr>
      <w:tr>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Passenger opt-in below target</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Thin panel, unpublishable cuts</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A/B test incentive value and question count weekly; brand-funded rewards; shorten to three taps</w:t>
            </w:r>
          </w:p>
        </w:tc>
      </w:tr>
      <w:tr>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Incentive cost exceeds data revenue</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Negative unit economics</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Cost-per-profile as a governed KPI; shift reward funding to advertisers; cap daily reward spend per screen</w:t>
            </w:r>
          </w:p>
        </w:tc>
      </w:tr>
      <w:tr>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Drivers disable or obstruct screens</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Data gaps and delivery loss</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Driver revenue share tied to uptime; remote health monitoring; tamper alerts</w:t>
            </w:r>
          </w:p>
        </w:tc>
      </w:tr>
      <w:tr>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Clients refuse to share conversion data</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No outcome layer, no causation</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Start with QR-only deterministic proof; offer free pilots; use geo-lift where no feed exists</w:t>
            </w:r>
          </w:p>
        </w:tc>
      </w:tr>
      <w:tr>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PDPA enforcement tightens</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Capture model constrained</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Consent-first design already exceeds baseline; annual audit; legal review before each new data point</w:t>
            </w:r>
          </w:p>
        </w:tc>
      </w:tr>
      <w:tr>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Methodology challenged by an agency</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Currency credibility lost</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Publish methodology openly; independent validation; never publish below threshold</w:t>
            </w:r>
          </w:p>
        </w:tc>
      </w:tr>
      <w:tr>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Competitor copies the model</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Margin compression</w:t>
            </w:r>
          </w:p>
        </w:tc>
        <w:tc>
          <w:tcPr>
            <w:tcW w:type="dxa" w:w="3120"/>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Consented first-party panel and client conversion integrations are slow to replicate; move to 10,000 screens fast</w:t>
            </w:r>
          </w:p>
        </w:tc>
      </w:tr>
    </w:tbl>
    <w:p>
      <w:pPr>
        <w:spacing w:after="200"/>
      </w:pPr>
    </w:p>
    <w:p>
      <w:r>
        <w:br w:type="page"/>
      </w:r>
    </w:p>
    <w:p>
      <w:pPr>
        <w:spacing w:after="40"/>
      </w:pPr>
      <w:r>
        <w:rPr>
          <w:b/>
          <w:bCs/>
          <w:color w:val="8A5F14"/>
          <w:sz w:val="18"/>
          <w:szCs w:val="18"/>
        </w:rPr>
        <w:t xml:space="preserve">11 · HOW WE KNOW IT IS WORKING</w:t>
      </w:r>
    </w:p>
    <w:p>
      <w:pPr>
        <w:pStyle w:val="Heading1"/>
      </w:pPr>
      <w:r>
        <w:t xml:space="preserve">KPIs &amp; Success 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1872"/>
        <w:gridCol w:w="1872"/>
        <w:gridCol w:w="1872"/>
        <w:gridCol w:w="1872"/>
      </w:tblGrid>
      <w:tr>
        <w:trPr>
          <w:tblHeader/>
        </w:trPr>
        <w:tc>
          <w:tcPr>
            <w:tcW w:type="dxa" w:w="1872"/>
            <w:tcBorders>
              <w:top w:val="single" w:color="D9DEE5" w:sz="1"/>
              <w:left w:val="single" w:color="D9DEE5" w:sz="1"/>
              <w:bottom w:val="single" w:color="D9DEE5" w:sz="1"/>
              <w:right w:val="single" w:color="D9DEE5" w:sz="1"/>
            </w:tcBorders>
            <w:shd w:fill="1E2530" w:val="clear"/>
            <w:tcMar>
              <w:top w:type="dxa" w:w="80"/>
              <w:left w:type="dxa" w:w="120"/>
              <w:bottom w:type="dxa" w:w="80"/>
              <w:right w:type="dxa" w:w="120"/>
            </w:tcMar>
          </w:tcPr>
          <w:p>
            <w:r>
              <w:rPr>
                <w:b/>
                <w:bCs/>
                <w:color w:val="FFFFFF"/>
                <w:sz w:val="19"/>
                <w:szCs w:val="19"/>
              </w:rPr>
              <w:t xml:space="preserve">KPI</w:t>
            </w:r>
          </w:p>
        </w:tc>
        <w:tc>
          <w:tcPr>
            <w:tcW w:type="dxa" w:w="1872"/>
            <w:tcBorders>
              <w:top w:val="single" w:color="D9DEE5" w:sz="1"/>
              <w:left w:val="single" w:color="D9DEE5" w:sz="1"/>
              <w:bottom w:val="single" w:color="D9DEE5" w:sz="1"/>
              <w:right w:val="single" w:color="D9DEE5" w:sz="1"/>
            </w:tcBorders>
            <w:shd w:fill="1E2530" w:val="clear"/>
            <w:tcMar>
              <w:top w:type="dxa" w:w="80"/>
              <w:left w:type="dxa" w:w="120"/>
              <w:bottom w:type="dxa" w:w="80"/>
              <w:right w:type="dxa" w:w="120"/>
            </w:tcMar>
          </w:tcPr>
          <w:p>
            <w:r>
              <w:rPr>
                <w:b/>
                <w:bCs/>
                <w:color w:val="FFFFFF"/>
                <w:sz w:val="19"/>
                <w:szCs w:val="19"/>
              </w:rPr>
              <w:t xml:space="preserve">Baseline today</w:t>
            </w:r>
          </w:p>
        </w:tc>
        <w:tc>
          <w:tcPr>
            <w:tcW w:type="dxa" w:w="1872"/>
            <w:tcBorders>
              <w:top w:val="single" w:color="D9DEE5" w:sz="1"/>
              <w:left w:val="single" w:color="D9DEE5" w:sz="1"/>
              <w:bottom w:val="single" w:color="D9DEE5" w:sz="1"/>
              <w:right w:val="single" w:color="D9DEE5" w:sz="1"/>
            </w:tcBorders>
            <w:shd w:fill="1E2530" w:val="clear"/>
            <w:tcMar>
              <w:top w:type="dxa" w:w="80"/>
              <w:left w:type="dxa" w:w="120"/>
              <w:bottom w:type="dxa" w:w="80"/>
              <w:right w:type="dxa" w:w="120"/>
            </w:tcMar>
          </w:tcPr>
          <w:p>
            <w:r>
              <w:rPr>
                <w:b/>
                <w:bCs/>
                <w:color w:val="FFFFFF"/>
                <w:sz w:val="19"/>
                <w:szCs w:val="19"/>
              </w:rPr>
              <w:t xml:space="preserve">H1 target</w:t>
            </w:r>
          </w:p>
        </w:tc>
        <w:tc>
          <w:tcPr>
            <w:tcW w:type="dxa" w:w="1872"/>
            <w:tcBorders>
              <w:top w:val="single" w:color="D9DEE5" w:sz="1"/>
              <w:left w:val="single" w:color="D9DEE5" w:sz="1"/>
              <w:bottom w:val="single" w:color="D9DEE5" w:sz="1"/>
              <w:right w:val="single" w:color="D9DEE5" w:sz="1"/>
            </w:tcBorders>
            <w:shd w:fill="1E2530" w:val="clear"/>
            <w:tcMar>
              <w:top w:type="dxa" w:w="80"/>
              <w:left w:type="dxa" w:w="120"/>
              <w:bottom w:type="dxa" w:w="80"/>
              <w:right w:type="dxa" w:w="120"/>
            </w:tcMar>
          </w:tcPr>
          <w:p>
            <w:r>
              <w:rPr>
                <w:b/>
                <w:bCs/>
                <w:color w:val="FFFFFF"/>
                <w:sz w:val="19"/>
                <w:szCs w:val="19"/>
              </w:rPr>
              <w:t xml:space="preserve">H2 target</w:t>
            </w:r>
          </w:p>
        </w:tc>
        <w:tc>
          <w:tcPr>
            <w:tcW w:type="dxa" w:w="1872"/>
            <w:tcBorders>
              <w:top w:val="single" w:color="D9DEE5" w:sz="1"/>
              <w:left w:val="single" w:color="D9DEE5" w:sz="1"/>
              <w:bottom w:val="single" w:color="D9DEE5" w:sz="1"/>
              <w:right w:val="single" w:color="D9DEE5" w:sz="1"/>
            </w:tcBorders>
            <w:shd w:fill="1E2530" w:val="clear"/>
            <w:tcMar>
              <w:top w:type="dxa" w:w="80"/>
              <w:left w:type="dxa" w:w="120"/>
              <w:bottom w:type="dxa" w:w="80"/>
              <w:right w:type="dxa" w:w="120"/>
            </w:tcMar>
          </w:tcPr>
          <w:p>
            <w:r>
              <w:rPr>
                <w:b/>
                <w:bCs/>
                <w:color w:val="FFFFFF"/>
                <w:sz w:val="19"/>
                <w:szCs w:val="19"/>
              </w:rPr>
              <w:t xml:space="preserve">H3 target</w:t>
            </w:r>
          </w:p>
        </w:tc>
      </w:tr>
      <w:tr>
        <w:tc>
          <w:tcPr>
            <w:tcW w:type="dxa" w:w="1872"/>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Plays with valid GPS fix</w:t>
            </w:r>
          </w:p>
        </w:tc>
        <w:tc>
          <w:tcPr>
            <w:tcW w:type="dxa" w:w="1872"/>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0%</w:t>
            </w:r>
          </w:p>
        </w:tc>
        <w:tc>
          <w:tcPr>
            <w:tcW w:type="dxa" w:w="1872"/>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95%</w:t>
            </w:r>
          </w:p>
        </w:tc>
        <w:tc>
          <w:tcPr>
            <w:tcW w:type="dxa" w:w="1872"/>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99%</w:t>
            </w:r>
          </w:p>
        </w:tc>
        <w:tc>
          <w:tcPr>
            <w:tcW w:type="dxa" w:w="1872"/>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99%</w:t>
            </w:r>
          </w:p>
        </w:tc>
      </w:tr>
      <w:tr>
        <w:tc>
          <w:tcPr>
            <w:tcW w:type="dxa" w:w="1872"/>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T1+ opt-in rate</w:t>
            </w:r>
          </w:p>
        </w:tc>
        <w:tc>
          <w:tcPr>
            <w:tcW w:type="dxa" w:w="1872"/>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0%</w:t>
            </w:r>
          </w:p>
        </w:tc>
        <w:tc>
          <w:tcPr>
            <w:tcW w:type="dxa" w:w="1872"/>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22%</w:t>
            </w:r>
          </w:p>
        </w:tc>
        <w:tc>
          <w:tcPr>
            <w:tcW w:type="dxa" w:w="1872"/>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32%</w:t>
            </w:r>
          </w:p>
        </w:tc>
        <w:tc>
          <w:tcPr>
            <w:tcW w:type="dxa" w:w="1872"/>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38%</w:t>
            </w:r>
          </w:p>
        </w:tc>
      </w:tr>
      <w:tr>
        <w:tc>
          <w:tcPr>
            <w:tcW w:type="dxa" w:w="1872"/>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Profiled rides per month</w:t>
            </w:r>
          </w:p>
        </w:tc>
        <w:tc>
          <w:tcPr>
            <w:tcW w:type="dxa" w:w="1872"/>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0</w:t>
            </w:r>
          </w:p>
        </w:tc>
        <w:tc>
          <w:tcPr>
            <w:tcW w:type="dxa" w:w="1872"/>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25,000</w:t>
            </w:r>
          </w:p>
        </w:tc>
        <w:tc>
          <w:tcPr>
            <w:tcW w:type="dxa" w:w="1872"/>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100,000</w:t>
            </w:r>
          </w:p>
        </w:tc>
        <w:tc>
          <w:tcPr>
            <w:tcW w:type="dxa" w:w="1872"/>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400,000</w:t>
            </w:r>
          </w:p>
        </w:tc>
      </w:tr>
      <w:tr>
        <w:tc>
          <w:tcPr>
            <w:tcW w:type="dxa" w:w="1872"/>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Cost per completed T2 profile</w:t>
            </w:r>
          </w:p>
        </w:tc>
        <w:tc>
          <w:tcPr>
            <w:tcW w:type="dxa" w:w="1872"/>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n/a</w:t>
            </w:r>
          </w:p>
        </w:tc>
        <w:tc>
          <w:tcPr>
            <w:tcW w:type="dxa" w:w="1872"/>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THB 15</w:t>
            </w:r>
          </w:p>
        </w:tc>
        <w:tc>
          <w:tcPr>
            <w:tcW w:type="dxa" w:w="1872"/>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THB 12</w:t>
            </w:r>
          </w:p>
        </w:tc>
        <w:tc>
          <w:tcPr>
            <w:tcW w:type="dxa" w:w="1872"/>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THB 8</w:t>
            </w:r>
          </w:p>
        </w:tc>
      </w:tr>
      <w:tr>
        <w:tc>
          <w:tcPr>
            <w:tcW w:type="dxa" w:w="1872"/>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Campaigns with a holdout design</w:t>
            </w:r>
          </w:p>
        </w:tc>
        <w:tc>
          <w:tcPr>
            <w:tcW w:type="dxa" w:w="1872"/>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0%</w:t>
            </w:r>
          </w:p>
        </w:tc>
        <w:tc>
          <w:tcPr>
            <w:tcW w:type="dxa" w:w="1872"/>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30%</w:t>
            </w:r>
          </w:p>
        </w:tc>
        <w:tc>
          <w:tcPr>
            <w:tcW w:type="dxa" w:w="1872"/>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70%</w:t>
            </w:r>
          </w:p>
        </w:tc>
        <w:tc>
          <w:tcPr>
            <w:tcW w:type="dxa" w:w="1872"/>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90%</w:t>
            </w:r>
          </w:p>
        </w:tc>
      </w:tr>
      <w:tr>
        <w:tc>
          <w:tcPr>
            <w:tcW w:type="dxa" w:w="1872"/>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Campaigns with verified conversions</w:t>
            </w:r>
          </w:p>
        </w:tc>
        <w:tc>
          <w:tcPr>
            <w:tcW w:type="dxa" w:w="1872"/>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0</w:t>
            </w:r>
          </w:p>
        </w:tc>
        <w:tc>
          <w:tcPr>
            <w:tcW w:type="dxa" w:w="1872"/>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3</w:t>
            </w:r>
          </w:p>
        </w:tc>
        <w:tc>
          <w:tcPr>
            <w:tcW w:type="dxa" w:w="1872"/>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40</w:t>
            </w:r>
          </w:p>
        </w:tc>
        <w:tc>
          <w:tcPr>
            <w:tcW w:type="dxa" w:w="1872"/>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150</w:t>
            </w:r>
          </w:p>
        </w:tc>
      </w:tr>
      <w:tr>
        <w:tc>
          <w:tcPr>
            <w:tcW w:type="dxa" w:w="1872"/>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Measurement attach rate</w:t>
            </w:r>
          </w:p>
        </w:tc>
        <w:tc>
          <w:tcPr>
            <w:tcW w:type="dxa" w:w="1872"/>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0%</w:t>
            </w:r>
          </w:p>
        </w:tc>
        <w:tc>
          <w:tcPr>
            <w:tcW w:type="dxa" w:w="1872"/>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20%</w:t>
            </w:r>
          </w:p>
        </w:tc>
        <w:tc>
          <w:tcPr>
            <w:tcW w:type="dxa" w:w="1872"/>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55%</w:t>
            </w:r>
          </w:p>
        </w:tc>
        <w:tc>
          <w:tcPr>
            <w:tcW w:type="dxa" w:w="1872"/>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80%</w:t>
            </w:r>
          </w:p>
        </w:tc>
      </w:tr>
      <w:tr>
        <w:tc>
          <w:tcPr>
            <w:tcW w:type="dxa" w:w="1872"/>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Data Services revenue (annualised)</w:t>
            </w:r>
          </w:p>
        </w:tc>
        <w:tc>
          <w:tcPr>
            <w:tcW w:type="dxa" w:w="1872"/>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US$0</w:t>
            </w:r>
          </w:p>
        </w:tc>
        <w:tc>
          <w:tcPr>
            <w:tcW w:type="dxa" w:w="1872"/>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US$0.15M</w:t>
            </w:r>
          </w:p>
        </w:tc>
        <w:tc>
          <w:tcPr>
            <w:tcW w:type="dxa" w:w="1872"/>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US$1.1M</w:t>
            </w:r>
          </w:p>
        </w:tc>
        <w:tc>
          <w:tcPr>
            <w:tcW w:type="dxa" w:w="1872"/>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US$2.5M</w:t>
            </w:r>
          </w:p>
        </w:tc>
      </w:tr>
      <w:tr>
        <w:tc>
          <w:tcPr>
            <w:tcW w:type="dxa" w:w="1872"/>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Data Services gross margin</w:t>
            </w:r>
          </w:p>
        </w:tc>
        <w:tc>
          <w:tcPr>
            <w:tcW w:type="dxa" w:w="1872"/>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n/a</w:t>
            </w:r>
          </w:p>
        </w:tc>
        <w:tc>
          <w:tcPr>
            <w:tcW w:type="dxa" w:w="1872"/>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60%</w:t>
            </w:r>
          </w:p>
        </w:tc>
        <w:tc>
          <w:tcPr>
            <w:tcW w:type="dxa" w:w="1872"/>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70%</w:t>
            </w:r>
          </w:p>
        </w:tc>
        <w:tc>
          <w:tcPr>
            <w:tcW w:type="dxa" w:w="1872"/>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75%</w:t>
            </w:r>
          </w:p>
        </w:tc>
      </w:tr>
      <w:tr>
        <w:tc>
          <w:tcPr>
            <w:tcW w:type="dxa" w:w="1872"/>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bCs/>
                <w:color w:val="1B2129"/>
                <w:sz w:val="19"/>
                <w:szCs w:val="19"/>
              </w:rPr>
              <w:t xml:space="preserve">Privacy incidents</w:t>
            </w:r>
          </w:p>
        </w:tc>
        <w:tc>
          <w:tcPr>
            <w:tcW w:type="dxa" w:w="1872"/>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0</w:t>
            </w:r>
          </w:p>
        </w:tc>
        <w:tc>
          <w:tcPr>
            <w:tcW w:type="dxa" w:w="1872"/>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0</w:t>
            </w:r>
          </w:p>
        </w:tc>
        <w:tc>
          <w:tcPr>
            <w:tcW w:type="dxa" w:w="1872"/>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0</w:t>
            </w:r>
          </w:p>
        </w:tc>
        <w:tc>
          <w:tcPr>
            <w:tcW w:type="dxa" w:w="1872"/>
            <w:tcBorders>
              <w:top w:val="single" w:color="D9DEE5" w:sz="1"/>
              <w:left w:val="single" w:color="D9DEE5" w:sz="1"/>
              <w:bottom w:val="single" w:color="D9DEE5" w:sz="1"/>
              <w:right w:val="single" w:color="D9DEE5" w:sz="1"/>
            </w:tcBorders>
            <w:tcMar>
              <w:top w:type="dxa" w:w="80"/>
              <w:left w:type="dxa" w:w="120"/>
              <w:bottom w:type="dxa" w:w="80"/>
              <w:right w:type="dxa" w:w="120"/>
            </w:tcMar>
          </w:tcPr>
          <w:p>
            <w:r>
              <w:rPr>
                <w:b w:val="false"/>
                <w:bCs w:val="false"/>
                <w:color w:val="1B2129"/>
                <w:sz w:val="19"/>
                <w:szCs w:val="19"/>
              </w:rPr>
              <w:t xml:space="preserve">0</w:t>
            </w:r>
          </w:p>
        </w:tc>
      </w:tr>
    </w:tbl>
    <w:p>
      <w:pPr>
        <w:spacing w:after="200"/>
      </w:pPr>
    </w:p>
    <w:p>
      <w:pPr>
        <w:pBdr>
          <w:left w:val="single" w:color="C08A2E" w:sz="18" w:space="8"/>
        </w:pBdr>
        <w:spacing w:after="40" w:before="120"/>
      </w:pPr>
      <w:r>
        <w:rPr>
          <w:b/>
          <w:bCs/>
          <w:color w:val="8A5F14"/>
        </w:rPr>
        <w:t xml:space="preserve">The one number that matters</w:t>
      </w:r>
    </w:p>
    <w:p>
      <w:pPr>
        <w:pBdr>
          <w:left w:val="single" w:color="C08A2E" w:sz="18" w:space="8"/>
        </w:pBdr>
        <w:spacing w:after="200"/>
      </w:pPr>
      <w:r>
        <w:rPr>
          <w:i/>
          <w:iCs/>
        </w:rPr>
        <w:t xml:space="preserve">If, in 24 months, a Bangkok media planner cannot build an offline plan without quoting a MotionReach number, the vertical has succeeded — regardless of what the data line alone earned.</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8B93A0"/>
        <w:sz w:val="16"/>
        <w:szCs w:val="16"/>
      </w:rPr>
      <w:t xml:space="preserve">Page </w:t>
    </w:r>
    <w:r>
      <w:rPr>
        <w:color w:val="8B93A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color w:val="8B93A0"/>
        <w:sz w:val="16"/>
        <w:szCs w:val="16"/>
      </w:rPr>
      <w:t xml:space="preserve">MotionReach × Metric Capital Advisory · Data Services Product Vision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80"/>
      </w:pPr>
    </w:lvl>
  </w:abstractNum>
  <w:abstractNum w:abstractNumId="3" w15:restartNumberingAfterBreak="0">
    <w:multiLevelType w:val="hybridMultilevel"/>
    <w:lvl w:ilvl="0" w15:tentative="1">
      <w:start w:val="1"/>
      <w:numFmt w:val="decimal"/>
      <w:lvlText w:val="%1."/>
      <w:lvlJc w:val="left"/>
      <w:pPr>
        <w:ind w:left="480" w:hanging="28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B2129"/>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120"/>
      <w:outlineLvl w:val="0"/>
    </w:pPr>
    <w:rPr>
      <w:rFonts w:ascii="Arial" w:cs="Arial" w:eastAsia="Arial" w:hAnsi="Arial"/>
      <w:b/>
      <w:bCs/>
      <w:color w:val="10151C"/>
      <w:sz w:val="34"/>
      <w:szCs w:val="34"/>
    </w:rPr>
  </w:style>
  <w:style w:type="paragraph" w:styleId="Heading3">
    <w:name w:val="Heading 3"/>
    <w:basedOn w:val="Normal"/>
    <w:next w:val="Normal"/>
    <w:qFormat/>
    <w:pPr>
      <w:spacing w:after="120" w:before="220"/>
      <w:outlineLvl w:val="2"/>
    </w:pPr>
    <w:rPr>
      <w:rFonts w:ascii="Arial" w:cs="Arial" w:eastAsia="Arial" w:hAnsi="Arial"/>
      <w:b/>
      <w:bCs/>
      <w:color w:val="10151C"/>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 Id="rId100" Type="http://schemas.openxmlformats.org/officeDocument/2006/relationships/image" Target="media/cobrand.png"/></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2026-08-16T13:41:15.337Z</dcterms:created>
  <dcterms:modified xsi:type="dcterms:W3CDTF">2026-08-16T13:41:15.337Z</dcterms:modified>
</cp:coreProperties>
</file>

<file path=docProps/custom.xml><?xml version="1.0" encoding="utf-8"?>
<Properties xmlns="http://schemas.openxmlformats.org/officeDocument/2006/custom-properties" xmlns:vt="http://schemas.openxmlformats.org/officeDocument/2006/docPropsVTypes"/>
</file>